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24" w:rsidRPr="00C27F24" w:rsidRDefault="00C27F24" w:rsidP="00C27F2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Ա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Մ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Փ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Ո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Փ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Ա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Թ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Ե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Ր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Թ</w:t>
      </w:r>
    </w:p>
    <w:p w:rsidR="00C27F24" w:rsidRPr="00C27F24" w:rsidRDefault="00C27F24" w:rsidP="00C27F24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</w:p>
    <w:p w:rsidR="00C27F24" w:rsidRPr="00C27F24" w:rsidRDefault="00C27F24" w:rsidP="00C27F24">
      <w:pPr>
        <w:spacing w:after="0" w:line="240" w:lineRule="auto"/>
        <w:jc w:val="center"/>
        <w:rPr>
          <w:rFonts w:ascii="GHEA Grapalat" w:eastAsia="MS Mincho" w:hAnsi="GHEA Grapalat" w:cs="MS Mincho"/>
          <w:b/>
          <w:sz w:val="24"/>
          <w:szCs w:val="24"/>
          <w:lang w:val="af-ZA" w:eastAsia="ru-RU"/>
        </w:rPr>
      </w:pP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«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ՀԱՅԱՍՏԱՆԻ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ՀԱՆՐԱՊԵՏՈՒԹՅԱՆ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ԱՇԽԱՏԱՆՔԱՅԻՆ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ՕՐԵՆՍԳՐՔՈՒՄ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ՓՈՓՈԽՈՒԹՅՈՒՆՆԵՐ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ԵՎ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ԼՐԱՑՈՒՄՆԵՐ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ԿԱՏԱՐԵԼՈՒ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ՄԱՍԻՆ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»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ՀՀ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ՕՐԵՆՔԻ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ՆԱԽԱԳԾԻ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(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ԱՅՍՈՒՀԵՏ՝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ՆԱԽԱԳԻԾ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) 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ՎԵՐԱԲԵՐՅԱԼ</w:t>
      </w:r>
      <w:r w:rsidRPr="00C27F2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«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ՕՐԵՆՍԴՐՈՒԹՅԱՆ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ԿԱՐԳԱՎՈՐՄԱՆ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ԱԶԳԱՅԻՆ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ԿԵՆՏՐՈՆ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» 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ՀԻՄՆԱԴՐԱՄԻ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ԱՌԱՋԱՐԿՈՒԹՅՈՒՆՆԵՐԻ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ԵՎ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ԴԻՏՈՂՈՒԹՅՈՒՆՆԵՐԻ</w:t>
      </w:r>
      <w:r w:rsidRPr="00C27F2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</w:p>
    <w:p w:rsidR="00C27F24" w:rsidRPr="00C27F24" w:rsidRDefault="00C27F24" w:rsidP="00C27F24">
      <w:pPr>
        <w:spacing w:after="0" w:line="240" w:lineRule="auto"/>
        <w:jc w:val="center"/>
        <w:rPr>
          <w:rFonts w:ascii="GHEA Grapalat" w:eastAsia="MS Mincho" w:hAnsi="GHEA Grapalat" w:cs="MS Mincho"/>
          <w:b/>
          <w:sz w:val="20"/>
          <w:szCs w:val="20"/>
          <w:lang w:val="af-ZA" w:eastAsia="ru-RU"/>
        </w:rPr>
      </w:pPr>
    </w:p>
    <w:p w:rsidR="00C27F24" w:rsidRPr="00C27F24" w:rsidRDefault="00C27F24" w:rsidP="00C27F24">
      <w:pPr>
        <w:spacing w:after="0" w:line="240" w:lineRule="auto"/>
        <w:jc w:val="center"/>
        <w:rPr>
          <w:rFonts w:ascii="GHEA Grapalat" w:eastAsia="MS Mincho" w:hAnsi="GHEA Grapalat" w:cs="MS Mincho"/>
          <w:b/>
          <w:sz w:val="20"/>
          <w:szCs w:val="20"/>
          <w:lang w:val="af-ZA" w:eastAsia="ru-RU"/>
        </w:rPr>
      </w:pPr>
    </w:p>
    <w:tbl>
      <w:tblPr>
        <w:tblW w:w="161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700"/>
        <w:gridCol w:w="6120"/>
        <w:gridCol w:w="4950"/>
        <w:gridCol w:w="1710"/>
      </w:tblGrid>
      <w:tr w:rsidR="00C27F24" w:rsidRPr="00C27F24" w:rsidTr="00FC3A4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ind w:hanging="25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nb-NO" w:eastAsia="ru-RU"/>
              </w:rPr>
            </w:pPr>
          </w:p>
          <w:p w:rsidR="00C27F24" w:rsidRPr="00C27F24" w:rsidRDefault="00C27F24" w:rsidP="00C27F24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Հ</w:t>
            </w: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/</w:t>
            </w: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>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Առաջարկության</w:t>
            </w: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հեղինակը</w:t>
            </w: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, </w:t>
            </w: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գրության</w:t>
            </w: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ամսաթիվը</w:t>
            </w: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, </w:t>
            </w: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գրության</w:t>
            </w: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համարը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C27F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Առաջարկության բովանդակությունը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C27F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Եզրակացությունը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C27F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Կատարված փոփոխու</w:t>
            </w:r>
          </w:p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C27F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թյունը</w:t>
            </w:r>
          </w:p>
        </w:tc>
      </w:tr>
      <w:tr w:rsidR="00C27F24" w:rsidRPr="00C27F24" w:rsidTr="00FC3A4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  <w:r w:rsidRPr="00C27F24"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C27F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C27F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C27F2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4</w:t>
            </w:r>
          </w:p>
        </w:tc>
      </w:tr>
      <w:tr w:rsidR="00C27F24" w:rsidRPr="00C27F24" w:rsidTr="00FC3A46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«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Օրենսդրության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կարգավորման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ազգային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կենտրոն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»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հիմնադրամ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06.06.2017թ.</w:t>
            </w:r>
          </w:p>
          <w:p w:rsidR="00C27F24" w:rsidRPr="00C27F24" w:rsidRDefault="00C27F24" w:rsidP="00C27F24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N 37/37.2/13158-17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գրություն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numPr>
                <w:ilvl w:val="0"/>
                <w:numId w:val="2"/>
              </w:numPr>
              <w:tabs>
                <w:tab w:val="left" w:pos="0"/>
                <w:tab w:val="left" w:pos="882"/>
              </w:tabs>
              <w:spacing w:after="0" w:line="240" w:lineRule="auto"/>
              <w:ind w:left="252" w:right="29" w:hanging="180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Նախագծով</w:t>
            </w:r>
            <w:proofErr w:type="spellEnd"/>
            <w:r w:rsidRPr="00C27F24">
              <w:rPr>
                <w:rFonts w:ascii="GHEA Grapalat" w:eastAsia="Calibri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C27F24">
              <w:rPr>
                <w:rFonts w:ascii="GHEA Grapalat" w:eastAsia="Calibri" w:hAnsi="GHEA Grapalat" w:cs="Times New Roman"/>
                <w:sz w:val="20"/>
                <w:szCs w:val="20"/>
                <w:lang w:val="af-ZA"/>
              </w:rPr>
              <w:t xml:space="preserve">գերփոքր ձեռնարկատիրությամբ զբաղվող գործատուների համար սահմանված աշխատանքային հարաբերությունների կարգավորման առանձնահատկությունները սահմանող դրույթները առաջարկվում է հանել, քանի որ դրանք կառաջացնեն խնդիրներ և լրացուցիչ վարչարարական բեռ գործատուների համար կապված՝ </w:t>
            </w:r>
          </w:p>
          <w:p w:rsidR="00C27F24" w:rsidRPr="00C27F24" w:rsidRDefault="00C27F24" w:rsidP="00C27F24">
            <w:pPr>
              <w:numPr>
                <w:ilvl w:val="1"/>
                <w:numId w:val="2"/>
              </w:num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right="29"/>
              <w:contextualSpacing/>
              <w:jc w:val="both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C27F24"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  <w:t>գերփոքր</w:t>
            </w:r>
            <w:r w:rsidRPr="00C27F24">
              <w:rPr>
                <w:rFonts w:ascii="GHEA Grapalat" w:eastAsia="Calibri" w:hAnsi="GHEA Grapalat" w:cs="Times New Roman"/>
                <w:sz w:val="20"/>
                <w:szCs w:val="20"/>
                <w:lang w:val="af-ZA"/>
              </w:rPr>
              <w:t xml:space="preserve"> ձեռնարկատիրության սուբյեկտի կարգավիճակից դուրս գալու դեպքում՝ լիազորված պետական մարմնի կողմից սահմանված օրինակելի պայմանագրից անցումը այլ տեսակի աշխատանքային պայմանագրի հետ՝ պարզ չէ ինչ իրավական հիմքով է կատարվելու,</w:t>
            </w:r>
          </w:p>
          <w:p w:rsidR="00C27F24" w:rsidRPr="00C27F24" w:rsidRDefault="00C27F24" w:rsidP="00C27F24">
            <w:pPr>
              <w:numPr>
                <w:ilvl w:val="1"/>
                <w:numId w:val="2"/>
              </w:num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  <w:r w:rsidRPr="00C27F24"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  <w:t xml:space="preserve">հաշվի առնելով, որ կարգավիճակի այդ տեսակ փոփոխությունները  կարող են հաճախակի բնույթ կրել նման ձեռնարկություններում, ապա կարծում ենք դրանք կառաջացնեն գործատուների համար լրացուցիչ աշխատանք և ծախսեր, </w:t>
            </w:r>
          </w:p>
          <w:p w:rsidR="00C27F24" w:rsidRPr="00C27F24" w:rsidRDefault="00C27F24" w:rsidP="00C27F24">
            <w:pPr>
              <w:numPr>
                <w:ilvl w:val="1"/>
                <w:numId w:val="2"/>
              </w:num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  <w:r w:rsidRPr="00C27F24"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  <w:t xml:space="preserve">գերփոքր ձեռնարկատիրությամբ զբաղվող գործատուների կողմից աշխատանքի էական պայմանների փոփոխման դեպքում աշխատողին </w:t>
            </w:r>
            <w:r w:rsidRPr="00C27F24"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  <w:lastRenderedPageBreak/>
              <w:t>ծանուցելու և աշխատողի համաձայնությունը ստանալու՝ դրանց չափերի ու տևողությունների որոշումը թողնվում է կողմերի համաձայնությանը, մինչդեռ ՀՀ օրենսգրքի 115-րդ հոդվածով հստակ սահմանված են համապատասխան ծանուցման ժամկետները, ինչը բխում է Վերանայված Եվրոպական սոցիալական խարտիայի դրույթներից:</w:t>
            </w: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numPr>
                <w:ilvl w:val="0"/>
                <w:numId w:val="2"/>
              </w:numPr>
              <w:tabs>
                <w:tab w:val="left" w:pos="0"/>
                <w:tab w:val="left" w:pos="882"/>
              </w:tabs>
              <w:spacing w:after="0" w:line="240" w:lineRule="auto"/>
              <w:ind w:left="252" w:right="29" w:hanging="180"/>
              <w:contextualSpacing/>
              <w:jc w:val="both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</w:pP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Նախագծի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6-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րդ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հոդվածում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՝</w:t>
            </w:r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«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ինչպես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նաև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ժամանակահատվածներ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որոնք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թույլատրվում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է</w:t>
            </w:r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հաշվարկել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տվյալ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տեսակի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աշխատանքային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ստաժում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»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արտահայտությունը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հստակ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չէ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առաջարկվում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է</w:t>
            </w:r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այն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հիմանվորել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՝</w:t>
            </w:r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հղում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կատարելով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այն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իրավական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ակտերին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որոնք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թույլատրում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են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դրանք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  <w:t>:</w:t>
            </w:r>
          </w:p>
          <w:p w:rsidR="00C27F24" w:rsidRPr="00C27F24" w:rsidRDefault="00C27F24" w:rsidP="00C27F24">
            <w:pPr>
              <w:tabs>
                <w:tab w:val="left" w:pos="0"/>
                <w:tab w:val="left" w:pos="882"/>
              </w:tabs>
              <w:spacing w:after="0" w:line="240" w:lineRule="auto"/>
              <w:ind w:left="252" w:right="29"/>
              <w:contextualSpacing/>
              <w:jc w:val="both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882"/>
              </w:tabs>
              <w:spacing w:after="0" w:line="240" w:lineRule="auto"/>
              <w:ind w:left="252" w:right="29"/>
              <w:contextualSpacing/>
              <w:jc w:val="both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882"/>
              </w:tabs>
              <w:spacing w:after="0" w:line="240" w:lineRule="auto"/>
              <w:ind w:left="252" w:right="29"/>
              <w:contextualSpacing/>
              <w:jc w:val="both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882"/>
              </w:tabs>
              <w:spacing w:after="0" w:line="240" w:lineRule="auto"/>
              <w:ind w:left="252" w:right="29"/>
              <w:contextualSpacing/>
              <w:jc w:val="both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tabs>
                <w:tab w:val="left" w:pos="0"/>
                <w:tab w:val="left" w:pos="882"/>
              </w:tabs>
              <w:spacing w:after="0" w:line="240" w:lineRule="auto"/>
              <w:ind w:left="252" w:right="29"/>
              <w:contextualSpacing/>
              <w:jc w:val="both"/>
              <w:rPr>
                <w:rFonts w:ascii="GHEA Grapalat" w:eastAsia="Calibri" w:hAnsi="GHEA Grapalat" w:cs="Sylfaen"/>
                <w:color w:val="000000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numPr>
                <w:ilvl w:val="0"/>
                <w:numId w:val="2"/>
              </w:numPr>
              <w:tabs>
                <w:tab w:val="left" w:pos="0"/>
                <w:tab w:val="left" w:pos="882"/>
              </w:tabs>
              <w:spacing w:after="0" w:line="240" w:lineRule="auto"/>
              <w:ind w:left="252" w:right="29" w:hanging="180"/>
              <w:contextualSpacing/>
              <w:jc w:val="both"/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</w:pP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Միաժամանակ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>առաջարկվում</w:t>
            </w:r>
            <w:proofErr w:type="spellEnd"/>
            <w:r w:rsidRPr="00C27F24">
              <w:rPr>
                <w:rFonts w:ascii="GHEA Grapalat" w:eastAsia="Calibri" w:hAnsi="GHEA Grapalat" w:cs="Sylfaen"/>
                <w:color w:val="000000"/>
                <w:sz w:val="20"/>
                <w:szCs w:val="20"/>
              </w:rPr>
              <w:t xml:space="preserve"> է՝</w:t>
            </w:r>
          </w:p>
          <w:p w:rsidR="00C27F24" w:rsidRPr="00C27F24" w:rsidRDefault="00C27F24" w:rsidP="00C27F24">
            <w:pPr>
              <w:numPr>
                <w:ilvl w:val="1"/>
                <w:numId w:val="2"/>
              </w:num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  <w:r w:rsidRPr="00C27F24"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  <w:t xml:space="preserve">հանել «Հայաստանի Հանրապետության աշխատանքային օրենսգրքի 99-րդ հոդվածի 3-րդ և 4-րդ մասերը այն հիմնավորմամբ, որ  գործատուների մոտ համատեղությամբ աշխատողների ամենամյա վճարովի արձակուրդի  տրամադրումը  հիմնական աշխատավայրում տրամադրվող ամենամյա արձակուրդի հետ միաժամանակ՝ աշխատողի կարգավորման խնդիր է, նաև ոտնահարում է ոչ հիմնական գործատուի շահերը: Համատեղությամբ աշխատանքը չպետք է տարբերակվի հիմնական աշխատանքից, քանի որ նպաստի տրամադրման իրավական հիմքը ոչ թե աշխատանքի համատեղության բնույթն է, այլ գործատուի նախաձեռնությամբ աշխատանքային </w:t>
            </w:r>
            <w:r w:rsidRPr="00C27F24"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  <w:lastRenderedPageBreak/>
              <w:t>պայմանագրի լուծման  հիմքերը:</w:t>
            </w:r>
          </w:p>
          <w:p w:rsidR="00C27F24" w:rsidRPr="00C27F24" w:rsidRDefault="00C27F24" w:rsidP="00C27F24">
            <w:p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left="1044"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</w:p>
          <w:p w:rsidR="00C27F24" w:rsidRPr="00C27F24" w:rsidRDefault="00C27F24" w:rsidP="00C27F24">
            <w:pPr>
              <w:numPr>
                <w:ilvl w:val="1"/>
                <w:numId w:val="2"/>
              </w:numPr>
              <w:tabs>
                <w:tab w:val="left" w:pos="0"/>
                <w:tab w:val="left" w:pos="252"/>
                <w:tab w:val="left" w:pos="1332"/>
              </w:tabs>
              <w:spacing w:after="0" w:line="240" w:lineRule="auto"/>
              <w:ind w:right="29"/>
              <w:contextualSpacing/>
              <w:jc w:val="both"/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</w:pPr>
            <w:r w:rsidRPr="00C27F24">
              <w:rPr>
                <w:rFonts w:ascii="GHEA Grapalat" w:eastAsia="Calibri" w:hAnsi="GHEA Grapalat" w:cs="Sylfaen"/>
                <w:sz w:val="20"/>
                <w:szCs w:val="20"/>
                <w:lang w:val="af-ZA"/>
              </w:rPr>
              <w:t>Օրենսգրքի 120-րդ հոդվածի 3-րդ մասում «զբաղեցված պաշտոնին» բառերը փոխարինել «աշխատանքային պայմանագրով սահմանված գործառույթներին» բառերով:</w:t>
            </w:r>
          </w:p>
          <w:p w:rsidR="00C27F24" w:rsidRPr="00C27F24" w:rsidRDefault="00C27F24" w:rsidP="00C27F2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lastRenderedPageBreak/>
              <w:t xml:space="preserve">1. Չի ընդունվել: Գերփոքր ձեռնարկատիրությամբ զբաղվող գործատուների համար աշխատանքային հարաբերությունների ձևավորման, փոփոխման և դադարման ճկուն հիմքերի սահմանումը նախատեսված է ՀՀ կառավարության 2016 թվականի հոկտեմբերի 18-ի N 1060-Ա որոշմամբ հաստատված ՀՀ կառավարության ծրագրով: </w:t>
            </w:r>
          </w:p>
          <w:p w:rsidR="00C27F24" w:rsidRPr="00C27F24" w:rsidRDefault="00C27F24" w:rsidP="00C27F24">
            <w:pPr>
              <w:spacing w:after="0" w:line="240" w:lineRule="auto"/>
              <w:ind w:firstLine="342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</w:pP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Նախագծով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գերփոքր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ձեռնարկատիրությամբ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զբաղվող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գործատուների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համար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առաջարկվել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են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առավել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ճկուն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կարգավորումներ՝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հաշվի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առնելով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գերփոքր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ձեռնարկատիրության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առանձնահատկությունները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այդ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թվում՝</w:t>
            </w:r>
          </w:p>
          <w:p w:rsidR="00C27F24" w:rsidRPr="00C27F24" w:rsidRDefault="00C27F24" w:rsidP="00C27F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</w:pP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մրցակցության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բարձր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մակարդակը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դրանով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պայմանավորված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շուկայում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արագ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փոփոխվող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պայմաններին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համարժեք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օպերատիվ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արձագանքելու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օբյեկտիվ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անհրաժեշտությունը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>,</w:t>
            </w:r>
          </w:p>
          <w:p w:rsidR="00C27F24" w:rsidRPr="00C27F24" w:rsidRDefault="00C27F24" w:rsidP="00C27F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</w:pP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ռեսուրսների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էական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սահմանափակվածությունը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՝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միջին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խոշոր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ձեռնարկատիրությամբ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զբաղվողների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համեմատ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>,</w:t>
            </w:r>
          </w:p>
          <w:p w:rsidR="00C27F24" w:rsidRPr="00C27F24" w:rsidRDefault="00C27F24" w:rsidP="00C27F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</w:pPr>
            <w:proofErr w:type="spellStart"/>
            <w:proofErr w:type="gram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lastRenderedPageBreak/>
              <w:t>արագ</w:t>
            </w:r>
            <w:proofErr w:type="spellEnd"/>
            <w:proofErr w:type="gram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փոփոխվող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պայմաններում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կայունության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սեփական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մրցունակության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պահպանման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հետևողական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բարձրացման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օբյեկտիվ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անհրաժեշտությունը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որը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պահանջում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է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ձեռնարկատիրական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գործունեության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կազմակերպման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ճկուն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հնարավորություններ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առավել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ազատական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խաղի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կանոններ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>.</w:t>
            </w:r>
          </w:p>
          <w:p w:rsidR="00C27F24" w:rsidRPr="00C27F24" w:rsidRDefault="00C27F24" w:rsidP="00C27F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</w:pP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աշխատանքային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ռեսուրսներ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ներգրավելու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ծախսը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միջինում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մեծ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տեսակարար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կշիռ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է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կազմում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իր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ընդհանուր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ծախսերի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մեջ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՝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համեմատ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միջին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խոշոր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ձեռնարկատիրության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 </w:t>
            </w:r>
          </w:p>
          <w:p w:rsidR="00C27F24" w:rsidRPr="00C27F24" w:rsidRDefault="00C27F24" w:rsidP="00C27F2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</w:pP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միջազգային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փորձը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իրավիճակային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վերլուծությունը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վկայում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գերփոքր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ձեռնարկությունների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ստեղծման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դրանց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գործունեության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դադարեցման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ցուցանիշները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միջինում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շուրջ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հինգ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անգամ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գերազանցում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միջին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խոշոր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ձեռնարկությունների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համապատասխան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ցուցանիշները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որը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ևս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վկայում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է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գերփոքր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ձեռնարկությունների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գործունեության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առավել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անկայուն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պայմանների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առկայության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մասին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>:</w:t>
            </w:r>
          </w:p>
          <w:p w:rsidR="00C27F24" w:rsidRPr="00C27F24" w:rsidRDefault="00C27F24" w:rsidP="00C27F24">
            <w:pPr>
              <w:spacing w:after="0" w:line="240" w:lineRule="auto"/>
              <w:ind w:left="-18" w:firstLine="27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</w:pP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Ընդհանրացնելով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կարելի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է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փաստել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գերփոքր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ձեռնարկությունների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տնտեսվարման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օբյեկտիվ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առանձնահատկություններից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բխող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դրանց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ձեռնարկատիրական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գործունեության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անկայունությունը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բարձր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ռիսկերը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անմիջականորեն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ստեղծում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փոքր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ձեռնարկատիրությամբ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զբաղվող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գործատուների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նրանց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աշխատողների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միջև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աշխատանքային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lastRenderedPageBreak/>
              <w:t>հարաբերությունների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կայունության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ապահովման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սկզբունքի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խախտման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օբյեկտիվ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նախադրյալներ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իրական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գործոններ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>:</w:t>
            </w:r>
          </w:p>
          <w:p w:rsidR="00C27F24" w:rsidRPr="00C27F24" w:rsidRDefault="00C27F24" w:rsidP="00C27F24">
            <w:pPr>
              <w:spacing w:after="0" w:line="240" w:lineRule="auto"/>
              <w:ind w:left="-18" w:firstLine="27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</w:pP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Գործնականում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առկա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առանձնահատուկ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այս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իրավիճակի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հաղթահարման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միջազգային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պրակտիկայում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ինչպես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նաև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ՀՀ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>-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տնտեսության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պետական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կարգավորման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առանձին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ուղղություն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է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համարվում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փոքր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ձեռնարկատիրության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աջակցությունը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որը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ենթադրում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է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դրանց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գործունեության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համար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իրավական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ֆինանսական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ներդրումային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երաշխիքային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բարենպաստ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դաշտի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ձևավորում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: </w:t>
            </w:r>
          </w:p>
          <w:p w:rsidR="00C27F24" w:rsidRPr="00C27F24" w:rsidRDefault="00C27F24" w:rsidP="00C27F24">
            <w:pPr>
              <w:spacing w:after="0" w:line="240" w:lineRule="auto"/>
              <w:ind w:left="-18" w:firstLine="27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</w:pP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Փոքր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միջին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ձեռնարկատիրության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պետական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աջակցության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նպատակը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սուբյեկտները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հիմնական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ուղղությունները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պետական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ծրագրերը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սահմանված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կարգավորված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«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Փոքր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միջին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ձեռնարկատիրության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պետական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աջակցության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մասին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»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ՀՀ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օրենքում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: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Մասնավորապես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օրենքով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փոքր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միջին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ձեռնարկատիրության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պետական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աջակցության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հիմնական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ուղղություններից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է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իրավական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բարենպաստ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դաշտի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ձևավորումը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որը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ենթադրում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է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նաև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սոցիալ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>-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աշխատանքային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հարաբերությունների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օրենսդրական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կարգավորման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ոլորտում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ևս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առանձնահատուկ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մոտեցումների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լրացուցիչ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հնարավորությունների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նախատեսում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՝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հիմք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ընդունելով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ՀՀ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սոցիալ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>-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տնտեսական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զարգացան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առկա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օբյեկտիվ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մարտահրավերները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,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ինչպես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նաև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այս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ուղղությամբ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առկա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միջազգային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դրական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 xml:space="preserve"> </w:t>
            </w:r>
            <w:proofErr w:type="spellStart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փորձը</w:t>
            </w:r>
            <w:proofErr w:type="spellEnd"/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fr-FR" w:eastAsia="ru-RU"/>
              </w:rPr>
              <w:t>:</w:t>
            </w:r>
          </w:p>
          <w:p w:rsidR="00C27F24" w:rsidRPr="00C27F24" w:rsidRDefault="00C27F24" w:rsidP="00C27F24">
            <w:pPr>
              <w:spacing w:after="0" w:line="240" w:lineRule="auto"/>
              <w:ind w:firstLine="252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Հաշվի առնելով վերոգրյալը՝ օբյեկտիվորեն կարևորվում է գերփոքր ձեռնարկատիրությամբ զբաղվող գործատուների համար աշխատանքային հարաբերությունների կարգավորման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 xml:space="preserve">առանձնահատկություններ սահմանելը: </w:t>
            </w:r>
          </w:p>
          <w:p w:rsidR="00C27F24" w:rsidRPr="00C27F24" w:rsidRDefault="00C27F24" w:rsidP="00C27F24">
            <w:pPr>
              <w:spacing w:after="0" w:line="240" w:lineRule="auto"/>
              <w:ind w:firstLine="342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Միաժամանակ հարկ է նշել, որ Վերանայված եվրոպական սոցիալական խարտիայով սահմանված ծանուցման ժամկետները վերաբերում են գործատուի նախաձեռնությամբ աշխատանքային պայմանագրի լուծմանը, այլ ոչ թե աշխատանքի Էական պայմանների փոփոխմանը:</w:t>
            </w:r>
          </w:p>
          <w:p w:rsidR="00C27F24" w:rsidRPr="00C27F24" w:rsidRDefault="00C27F24" w:rsidP="00C27F24">
            <w:pPr>
              <w:spacing w:after="0" w:line="240" w:lineRule="auto"/>
              <w:ind w:left="702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C27F24" w:rsidRPr="00C27F24" w:rsidRDefault="00C27F24" w:rsidP="00C27F2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2. Չի ընդունվել: Բոլոր իրավական ակտերին հստակ հղումներ կատարել հնարավոր և, միաժամանակ, նպատակահարմար էլ չէ դրույթի պրակտիկ կիրառման տեսանկյունից: Հստակ հղումներ կատարելու պարագայում հղում կատարած իրավական ակտերում որևէ փոփոխության դեպքում անհրաժեշտ կլինի փոփոխություն կատարել նաև ՀՀ աշխատանքային օրենսգրքի 20-րդ հոդվածի 1-ին մասի 2-րդ կետում:  </w:t>
            </w:r>
          </w:p>
          <w:p w:rsidR="00C27F24" w:rsidRPr="00C27F24" w:rsidRDefault="00C27F24" w:rsidP="00C27F2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C27F24" w:rsidRPr="00C27F24" w:rsidRDefault="00C27F24" w:rsidP="00C27F2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3. Չի ընդունվել: Թե' Վերանայված եվրոպական սոցիալական խարտիայով, թե' ԱՄԿ թիվ 132 կոնվենցիայով հստակ սահմանված է յուրաքանչյուր աշխատողի համար տարեկան նվազագույն վճարովի արձակուրդի իրավունքը: Ցանկացած պարագայում յուրաքանչյուր աշխատող պետք է տարվա մեջ հանգստանալու և աշխատունակությունը վերականգնելու հնարավորություն ունենա: Ուստի համատեղությամբ աշխատողի համար հիմնական աշխատավայրում տրամադրվող ամենամյա արձակուրդի հետ միաժամանակ արձակուրդ տրամադրելու պահանջի նպատակը աշխատողի տարեկան հանգստի իրավունքի երաշխավորումն ու աշխատունակությունը վերականգնելու </w:t>
            </w: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 xml:space="preserve">հնարավորության ապահովումն է: </w:t>
            </w:r>
          </w:p>
          <w:p w:rsidR="00C27F24" w:rsidRPr="00C27F24" w:rsidRDefault="00C27F24" w:rsidP="00C27F2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C27F24" w:rsidRPr="00C27F24" w:rsidRDefault="00C27F24" w:rsidP="00C27F24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C27F2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Օրենսգրքի 120-րդ հոդվածի 3-րդ մասում օգտագործվում է «զբաղեցրած պաշտոնին կամ կատարվող աշխատանքին համապատասխանություն» հասկացությունը, ինչն իր մեջ արդեն իսկ ներառում է </w:t>
            </w:r>
            <w:r w:rsidRPr="00C27F2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աշխատանքային պայմանագրով սահմանված գործառույթները: Միաժամանակ «զբաղեցրած պաշտոնին համապատասխանություն» արտահայտությունն ավելի ընդգրկուն է, քան «աշխատանքային պայմանագրով սահմանված գործառույթներ» արտահայտությունը: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4" w:rsidRPr="00C27F24" w:rsidRDefault="00C27F24" w:rsidP="00C27F24">
            <w:pPr>
              <w:spacing w:after="0" w:line="240" w:lineRule="auto"/>
              <w:jc w:val="both"/>
              <w:rPr>
                <w:rFonts w:ascii="GHEA Grapalat" w:eastAsia="Calibri" w:hAnsi="GHEA Grapalat" w:cs="Times New Roman"/>
                <w:sz w:val="20"/>
                <w:szCs w:val="20"/>
                <w:lang w:val="hy-AM" w:eastAsia="ru-RU"/>
              </w:rPr>
            </w:pPr>
          </w:p>
        </w:tc>
      </w:tr>
    </w:tbl>
    <w:p w:rsidR="00C27F24" w:rsidRPr="00C27F24" w:rsidRDefault="00C27F24" w:rsidP="00C27F24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B83ADD" w:rsidRDefault="00B83ADD">
      <w:bookmarkStart w:id="0" w:name="_GoBack"/>
      <w:bookmarkEnd w:id="0"/>
    </w:p>
    <w:sectPr w:rsidR="00B83ADD" w:rsidSect="001D36F7">
      <w:pgSz w:w="16838" w:h="11906" w:orient="landscape" w:code="9"/>
      <w:pgMar w:top="1699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47E3"/>
    <w:multiLevelType w:val="hybridMultilevel"/>
    <w:tmpl w:val="12F81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457B4"/>
    <w:multiLevelType w:val="multilevel"/>
    <w:tmpl w:val="0809001F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1"/>
      <w:numFmt w:val="decimal"/>
      <w:lvlText w:val="%1.%2."/>
      <w:lvlJc w:val="left"/>
      <w:pPr>
        <w:ind w:left="1044" w:hanging="432"/>
      </w:pPr>
    </w:lvl>
    <w:lvl w:ilvl="2">
      <w:start w:val="1"/>
      <w:numFmt w:val="decimal"/>
      <w:lvlText w:val="%1.%2.%3."/>
      <w:lvlJc w:val="left"/>
      <w:pPr>
        <w:ind w:left="1476" w:hanging="504"/>
      </w:pPr>
    </w:lvl>
    <w:lvl w:ilvl="3">
      <w:start w:val="1"/>
      <w:numFmt w:val="decimal"/>
      <w:lvlText w:val="%1.%2.%3.%4."/>
      <w:lvlJc w:val="left"/>
      <w:pPr>
        <w:ind w:left="1980" w:hanging="648"/>
      </w:pPr>
    </w:lvl>
    <w:lvl w:ilvl="4">
      <w:start w:val="1"/>
      <w:numFmt w:val="decimal"/>
      <w:lvlText w:val="%1.%2.%3.%4.%5."/>
      <w:lvlJc w:val="left"/>
      <w:pPr>
        <w:ind w:left="2484" w:hanging="792"/>
      </w:pPr>
    </w:lvl>
    <w:lvl w:ilvl="5">
      <w:start w:val="1"/>
      <w:numFmt w:val="decimal"/>
      <w:lvlText w:val="%1.%2.%3.%4.%5.%6."/>
      <w:lvlJc w:val="left"/>
      <w:pPr>
        <w:ind w:left="2988" w:hanging="936"/>
      </w:pPr>
    </w:lvl>
    <w:lvl w:ilvl="6">
      <w:start w:val="1"/>
      <w:numFmt w:val="decimal"/>
      <w:lvlText w:val="%1.%2.%3.%4.%5.%6.%7."/>
      <w:lvlJc w:val="left"/>
      <w:pPr>
        <w:ind w:left="3492" w:hanging="1080"/>
      </w:pPr>
    </w:lvl>
    <w:lvl w:ilvl="7">
      <w:start w:val="1"/>
      <w:numFmt w:val="decimal"/>
      <w:lvlText w:val="%1.%2.%3.%4.%5.%6.%7.%8."/>
      <w:lvlJc w:val="left"/>
      <w:pPr>
        <w:ind w:left="3996" w:hanging="1224"/>
      </w:pPr>
    </w:lvl>
    <w:lvl w:ilvl="8">
      <w:start w:val="1"/>
      <w:numFmt w:val="decimal"/>
      <w:lvlText w:val="%1.%2.%3.%4.%5.%6.%7.%8.%9."/>
      <w:lvlJc w:val="left"/>
      <w:pPr>
        <w:ind w:left="4572" w:hanging="144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B8"/>
    <w:rsid w:val="002E646F"/>
    <w:rsid w:val="007B483E"/>
    <w:rsid w:val="008A1CA0"/>
    <w:rsid w:val="00B83ADD"/>
    <w:rsid w:val="00C27F24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Harutyunyan</dc:creator>
  <cp:keywords/>
  <dc:description/>
  <cp:lastModifiedBy>Lusine Harutyunyan</cp:lastModifiedBy>
  <cp:revision>2</cp:revision>
  <dcterms:created xsi:type="dcterms:W3CDTF">2017-06-19T12:01:00Z</dcterms:created>
  <dcterms:modified xsi:type="dcterms:W3CDTF">2017-06-19T12:02:00Z</dcterms:modified>
</cp:coreProperties>
</file>