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CA6822" w:rsidRPr="002410EC">
        <w:rPr>
          <w:rFonts w:ascii="GHEA Grapalat" w:hAnsi="GHEA Grapalat"/>
          <w:sz w:val="22"/>
          <w:szCs w:val="22"/>
          <w:lang w:val="af-ZA" w:eastAsia="ru-RU"/>
        </w:rPr>
        <w:t xml:space="preserve">2019 </w:t>
      </w:r>
      <w:r w:rsidR="00CA6822" w:rsidRPr="002410EC">
        <w:rPr>
          <w:rFonts w:ascii="GHEA Grapalat" w:hAnsi="GHEA Grapalat"/>
          <w:sz w:val="22"/>
          <w:szCs w:val="22"/>
          <w:lang w:val="hy-AM" w:eastAsia="ru-RU"/>
        </w:rPr>
        <w:t>թվականի</w:t>
      </w:r>
      <w:r w:rsidR="00CA6822" w:rsidRPr="002410EC">
        <w:rPr>
          <w:rFonts w:ascii="GHEA Grapalat" w:hAnsi="GHEA Grapalat"/>
          <w:sz w:val="22"/>
          <w:szCs w:val="22"/>
          <w:lang w:val="af-ZA" w:eastAsia="ru-RU"/>
        </w:rPr>
        <w:t xml:space="preserve"> </w:t>
      </w:r>
      <w:r w:rsidR="00CA6822">
        <w:rPr>
          <w:rFonts w:ascii="GHEA Grapalat" w:hAnsi="GHEA Grapalat"/>
          <w:sz w:val="22"/>
          <w:szCs w:val="22"/>
          <w:lang w:eastAsia="ru-RU"/>
        </w:rPr>
        <w:t>նոյեմբերի</w:t>
      </w:r>
      <w:r w:rsidR="00CA6822">
        <w:rPr>
          <w:rFonts w:ascii="GHEA Grapalat" w:hAnsi="GHEA Grapalat"/>
          <w:sz w:val="22"/>
          <w:szCs w:val="22"/>
          <w:lang w:val="af-ZA" w:eastAsia="ru-RU"/>
        </w:rPr>
        <w:t xml:space="preserve"> 5</w:t>
      </w:r>
      <w:r w:rsidR="00CA6822" w:rsidRPr="002410EC">
        <w:rPr>
          <w:rFonts w:ascii="GHEA Grapalat" w:hAnsi="GHEA Grapalat"/>
          <w:sz w:val="22"/>
          <w:szCs w:val="22"/>
          <w:lang w:val="af-ZA" w:eastAsia="ru-RU"/>
        </w:rPr>
        <w:t>-</w:t>
      </w:r>
      <w:r w:rsidR="00CA6822" w:rsidRPr="002410EC">
        <w:rPr>
          <w:rFonts w:ascii="GHEA Grapalat" w:hAnsi="GHEA Grapalat"/>
          <w:sz w:val="22"/>
          <w:szCs w:val="22"/>
          <w:lang w:val="hy-AM" w:eastAsia="ru-RU"/>
        </w:rPr>
        <w:t>ի</w:t>
      </w:r>
      <w:r w:rsidR="00CA6822">
        <w:rPr>
          <w:rFonts w:ascii="GHEA Grapalat" w:hAnsi="GHEA Grapalat"/>
          <w:sz w:val="22"/>
          <w:szCs w:val="22"/>
          <w:lang w:val="af-ZA" w:eastAsia="ru-RU"/>
        </w:rPr>
        <w:t xml:space="preserve"> N 154-Ա/1</w:t>
      </w:r>
      <w:r w:rsidR="00CA6822" w:rsidRPr="002410EC">
        <w:rPr>
          <w:rFonts w:ascii="GHEA Grapalat" w:hAnsi="GHEA Grapalat"/>
          <w:sz w:val="22"/>
          <w:szCs w:val="22"/>
          <w:lang w:val="af-ZA" w:eastAsia="ru-RU"/>
        </w:rPr>
        <w:t xml:space="preserve"> </w:t>
      </w:r>
      <w:r w:rsidR="00CA6822" w:rsidRPr="002410EC">
        <w:rPr>
          <w:rFonts w:ascii="GHEA Grapalat" w:hAnsi="GHEA Grapalat"/>
          <w:sz w:val="22"/>
          <w:szCs w:val="22"/>
          <w:lang w:val="hy-AM" w:eastAsia="ru-RU"/>
        </w:rPr>
        <w:t>հրամանով</w:t>
      </w:r>
      <w:r w:rsidR="00CA6822"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07088A" w:rsidRPr="000B27A5">
        <w:rPr>
          <w:rFonts w:ascii="GHEA Grapalat" w:eastAsia="Times New Roman" w:hAnsi="GHEA Grapalat" w:cs="Sylfaen"/>
        </w:rPr>
        <w:t>ՀՀ</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Վայոց Ձորի</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մարզի</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Եղեգնաձոր</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07088A" w:rsidRPr="000B27A5">
        <w:rPr>
          <w:rFonts w:ascii="GHEA Grapalat" w:eastAsia="Times New Roman" w:hAnsi="GHEA Grapalat" w:cs="Sylfaen"/>
        </w:rPr>
        <w:t>ՀՀ</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Վայոց Ձորի</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մարզի</w:t>
      </w:r>
      <w:r w:rsidR="0007088A" w:rsidRPr="000B27A5">
        <w:rPr>
          <w:rFonts w:ascii="GHEA Grapalat" w:eastAsia="Times New Roman" w:hAnsi="GHEA Grapalat" w:cs="Sylfaen"/>
          <w:lang w:val="af-ZA"/>
        </w:rPr>
        <w:t xml:space="preserve"> </w:t>
      </w:r>
      <w:r w:rsidR="0007088A" w:rsidRPr="000B27A5">
        <w:rPr>
          <w:rFonts w:ascii="GHEA Grapalat" w:eastAsia="Times New Roman" w:hAnsi="GHEA Grapalat" w:cs="Sylfaen"/>
        </w:rPr>
        <w:t>Եղեգնաձոր</w:t>
      </w:r>
      <w:r w:rsidR="0007088A" w:rsidRPr="0043104E">
        <w:rPr>
          <w:rFonts w:ascii="GHEA Grapalat" w:hAnsi="GHEA Grapalat"/>
          <w:lang w:val="af-ZA"/>
        </w:rPr>
        <w:t xml:space="preserve"> </w:t>
      </w:r>
      <w:r w:rsidR="0007088A" w:rsidRPr="0043104E">
        <w:rPr>
          <w:rFonts w:ascii="GHEA Grapalat" w:eastAsia="Times New Roman" w:hAnsi="GHEA Grapalat" w:cs="Sylfaen"/>
          <w:lang w:val="hy-AM"/>
        </w:rPr>
        <w:t>համայնք</w:t>
      </w:r>
      <w:r w:rsidR="0007088A">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07088A" w:rsidRPr="004415CB" w:rsidRDefault="0007088A" w:rsidP="0007088A">
      <w:pPr>
        <w:rPr>
          <w:rFonts w:ascii="GHEA Grapalat" w:hAnsi="GHEA Grapalat" w:cs="Sylfaen"/>
        </w:rPr>
      </w:pPr>
    </w:p>
    <w:p w:rsidR="0007088A" w:rsidRPr="00B55CB5" w:rsidRDefault="0007088A" w:rsidP="0007088A">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7088A" w:rsidRPr="00B55CB5" w:rsidRDefault="0007088A" w:rsidP="0007088A">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07088A" w:rsidRPr="00B55CB5" w:rsidRDefault="0007088A" w:rsidP="0007088A">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B55CB5">
        <w:rPr>
          <w:rFonts w:ascii="GHEA Grapalat" w:hAnsi="GHEA Grapalat" w:cs="Sylfaen"/>
        </w:rPr>
        <w:t>ՀՀ</w:t>
      </w:r>
      <w:r w:rsidRPr="00B55CB5">
        <w:rPr>
          <w:rFonts w:ascii="GHEA Grapalat" w:hAnsi="GHEA Grapalat" w:cs="Sylfaen"/>
          <w:lang w:val="af-ZA"/>
        </w:rPr>
        <w:t xml:space="preserve"> </w:t>
      </w:r>
      <w:r w:rsidRPr="00B55CB5">
        <w:rPr>
          <w:rFonts w:ascii="GHEA Grapalat" w:hAnsi="GHEA Grapalat" w:cs="Sylfaen"/>
        </w:rPr>
        <w:t>Վայոց Ձորի</w:t>
      </w:r>
      <w:r w:rsidRPr="00B55CB5">
        <w:rPr>
          <w:rFonts w:ascii="GHEA Grapalat" w:hAnsi="GHEA Grapalat" w:cs="Sylfaen"/>
          <w:lang w:val="af-ZA"/>
        </w:rPr>
        <w:t xml:space="preserve"> </w:t>
      </w:r>
      <w:r w:rsidRPr="00B55CB5">
        <w:rPr>
          <w:rFonts w:ascii="GHEA Grapalat" w:hAnsi="GHEA Grapalat" w:cs="Sylfaen"/>
        </w:rPr>
        <w:t>մարզի</w:t>
      </w:r>
      <w:r w:rsidRPr="00B55CB5">
        <w:rPr>
          <w:rFonts w:ascii="GHEA Grapalat" w:hAnsi="GHEA Grapalat" w:cs="Sylfaen"/>
          <w:lang w:val="af-ZA"/>
        </w:rPr>
        <w:t xml:space="preserve"> </w:t>
      </w:r>
      <w:r w:rsidRPr="00B55CB5">
        <w:rPr>
          <w:rFonts w:ascii="GHEA Grapalat" w:hAnsi="GHEA Grapalat" w:cs="Sylfaen"/>
        </w:rPr>
        <w:t xml:space="preserve">Եղեգնաձոր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7088A" w:rsidRPr="00B55CB5" w:rsidRDefault="0007088A" w:rsidP="0007088A">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B55CB5">
        <w:rPr>
          <w:rFonts w:ascii="GHEA Grapalat" w:hAnsi="GHEA Grapalat" w:cs="Sylfaen"/>
        </w:rPr>
        <w:t>ՀՀ</w:t>
      </w:r>
      <w:r w:rsidRPr="00B55CB5">
        <w:rPr>
          <w:rFonts w:ascii="GHEA Grapalat" w:hAnsi="GHEA Grapalat" w:cs="Sylfaen"/>
          <w:lang w:val="af-ZA"/>
        </w:rPr>
        <w:t xml:space="preserve"> </w:t>
      </w:r>
      <w:r w:rsidRPr="00B55CB5">
        <w:rPr>
          <w:rFonts w:ascii="GHEA Grapalat" w:hAnsi="GHEA Grapalat" w:cs="Sylfaen"/>
        </w:rPr>
        <w:t>Վայոց Ձորի</w:t>
      </w:r>
      <w:r w:rsidRPr="00B55CB5">
        <w:rPr>
          <w:rFonts w:ascii="GHEA Grapalat" w:hAnsi="GHEA Grapalat" w:cs="Sylfaen"/>
          <w:lang w:val="af-ZA"/>
        </w:rPr>
        <w:t xml:space="preserve"> </w:t>
      </w:r>
      <w:r w:rsidRPr="00B55CB5">
        <w:rPr>
          <w:rFonts w:ascii="GHEA Grapalat" w:hAnsi="GHEA Grapalat" w:cs="Sylfaen"/>
        </w:rPr>
        <w:t>մարզի</w:t>
      </w:r>
      <w:r w:rsidRPr="00B55CB5">
        <w:rPr>
          <w:rFonts w:ascii="GHEA Grapalat" w:hAnsi="GHEA Grapalat" w:cs="Sylfaen"/>
          <w:lang w:val="af-ZA"/>
        </w:rPr>
        <w:t xml:space="preserve"> </w:t>
      </w:r>
      <w:r w:rsidRPr="00B55CB5">
        <w:rPr>
          <w:rFonts w:ascii="GHEA Grapalat" w:hAnsi="GHEA Grapalat" w:cs="Sylfaen"/>
        </w:rPr>
        <w:t xml:space="preserve">Եղեգնաձոր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07088A" w:rsidRPr="00B55CB5" w:rsidRDefault="0007088A" w:rsidP="0007088A">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07088A" w:rsidRPr="00B55CB5" w:rsidRDefault="0007088A" w:rsidP="0007088A">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7088A" w:rsidRPr="00B55CB5" w:rsidRDefault="0007088A" w:rsidP="0007088A">
      <w:pPr>
        <w:shd w:val="clear" w:color="auto" w:fill="FFFFFF"/>
        <w:ind w:firstLine="450"/>
        <w:jc w:val="center"/>
        <w:rPr>
          <w:rFonts w:ascii="GHEA Grapalat" w:hAnsi="GHEA Grapalat"/>
          <w:color w:val="000000"/>
        </w:rPr>
      </w:pPr>
    </w:p>
    <w:p w:rsidR="0007088A" w:rsidRPr="00B55CB5" w:rsidRDefault="0007088A" w:rsidP="0007088A">
      <w:pPr>
        <w:shd w:val="clear" w:color="auto" w:fill="FFFFFF"/>
        <w:ind w:firstLine="450"/>
        <w:jc w:val="center"/>
        <w:rPr>
          <w:rFonts w:ascii="GHEA Grapalat" w:hAnsi="GHEA Grapalat"/>
          <w:color w:val="000000"/>
        </w:rPr>
      </w:pPr>
    </w:p>
    <w:p w:rsidR="0007088A" w:rsidRDefault="0007088A" w:rsidP="0007088A">
      <w:pPr>
        <w:shd w:val="clear" w:color="auto" w:fill="FFFFFF"/>
        <w:ind w:firstLine="450"/>
        <w:jc w:val="center"/>
        <w:rPr>
          <w:rFonts w:ascii="GHEA Grapalat" w:hAnsi="GHEA Grapalat"/>
          <w:color w:val="000000"/>
        </w:rPr>
      </w:pPr>
    </w:p>
    <w:p w:rsidR="0007088A" w:rsidRDefault="0007088A" w:rsidP="0007088A">
      <w:pPr>
        <w:shd w:val="clear" w:color="auto" w:fill="FFFFFF"/>
        <w:ind w:firstLine="450"/>
        <w:jc w:val="center"/>
        <w:rPr>
          <w:rFonts w:ascii="GHEA Grapalat" w:hAnsi="GHEA Grapalat"/>
          <w:color w:val="000000"/>
        </w:rPr>
      </w:pPr>
    </w:p>
    <w:p w:rsidR="0007088A" w:rsidRPr="00B55CB5" w:rsidRDefault="0007088A" w:rsidP="0007088A">
      <w:pPr>
        <w:shd w:val="clear" w:color="auto" w:fill="FFFFFF"/>
        <w:ind w:firstLine="450"/>
        <w:jc w:val="center"/>
        <w:rPr>
          <w:rFonts w:ascii="GHEA Grapalat" w:hAnsi="GHEA Grapalat"/>
          <w:color w:val="000000"/>
        </w:rPr>
      </w:pPr>
    </w:p>
    <w:p w:rsidR="0007088A" w:rsidRPr="00B55CB5" w:rsidRDefault="0007088A" w:rsidP="0007088A">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7088A" w:rsidRPr="00B55CB5" w:rsidTr="0007088A">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7088A" w:rsidRPr="00B55CB5" w:rsidTr="0007088A">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88A" w:rsidRPr="00B55CB5" w:rsidRDefault="0007088A" w:rsidP="0007088A">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07088A" w:rsidRPr="00B55CB5" w:rsidTr="0007088A">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7088A" w:rsidRPr="00B55CB5" w:rsidRDefault="0007088A" w:rsidP="0007088A">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7088A" w:rsidRPr="00B55CB5" w:rsidRDefault="0007088A" w:rsidP="0007088A">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7088A" w:rsidRPr="00B55CB5" w:rsidRDefault="0007088A" w:rsidP="0007088A">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7088A" w:rsidRPr="00B55CB5" w:rsidRDefault="0007088A" w:rsidP="0007088A">
            <w:pPr>
              <w:ind w:left="90" w:firstLine="90"/>
              <w:jc w:val="both"/>
              <w:rPr>
                <w:rFonts w:ascii="GHEA Grapalat" w:hAnsi="GHEA Grapalat" w:cs="Sylfaen"/>
                <w:lang w:val="af-ZA" w:eastAsia="ru-RU"/>
              </w:rPr>
            </w:pP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7088A" w:rsidRPr="00B55CB5" w:rsidRDefault="0007088A" w:rsidP="0007088A">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7088A" w:rsidRPr="00B55CB5" w:rsidRDefault="0007088A" w:rsidP="0007088A">
            <w:pPr>
              <w:ind w:left="90" w:right="240"/>
              <w:jc w:val="both"/>
              <w:rPr>
                <w:rFonts w:ascii="GHEA Grapalat" w:hAnsi="GHEA Grapalat"/>
                <w:b/>
              </w:rPr>
            </w:pPr>
          </w:p>
          <w:p w:rsidR="0007088A" w:rsidRPr="00B55CB5" w:rsidRDefault="0007088A" w:rsidP="0007088A">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7088A" w:rsidRPr="00B55CB5" w:rsidRDefault="0007088A" w:rsidP="0007088A">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07088A" w:rsidRDefault="0007088A" w:rsidP="0007088A">
      <w:pPr>
        <w:tabs>
          <w:tab w:val="left" w:pos="360"/>
        </w:tabs>
        <w:ind w:left="-360" w:firstLine="450"/>
        <w:jc w:val="both"/>
        <w:rPr>
          <w:rFonts w:ascii="GHEA Grapalat" w:hAnsi="GHEA Grapalat"/>
        </w:rPr>
      </w:pPr>
    </w:p>
    <w:p w:rsidR="0007088A" w:rsidRDefault="0007088A" w:rsidP="0007088A">
      <w:pPr>
        <w:tabs>
          <w:tab w:val="left" w:pos="360"/>
        </w:tabs>
        <w:ind w:left="-360" w:firstLine="450"/>
        <w:jc w:val="both"/>
        <w:rPr>
          <w:rFonts w:ascii="GHEA Grapalat" w:hAnsi="GHEA Grapalat"/>
        </w:rPr>
      </w:pPr>
    </w:p>
    <w:p w:rsidR="0007088A" w:rsidRPr="00B55CB5" w:rsidRDefault="0007088A" w:rsidP="0007088A">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7088A" w:rsidRPr="00B55CB5" w:rsidRDefault="0007088A" w:rsidP="0007088A">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5A3E0E"/>
    <w:rsid w:val="008640CC"/>
    <w:rsid w:val="008D4ABB"/>
    <w:rsid w:val="00956229"/>
    <w:rsid w:val="00967180"/>
    <w:rsid w:val="00A57880"/>
    <w:rsid w:val="00C4286B"/>
    <w:rsid w:val="00C86403"/>
    <w:rsid w:val="00CA6822"/>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5611</Words>
  <Characters>31983</Characters>
  <Application>Microsoft Office Word</Application>
  <DocSecurity>0</DocSecurity>
  <Lines>266</Lines>
  <Paragraphs>75</Paragraphs>
  <ScaleCrop>false</ScaleCrop>
  <Company>SPecialiST RePack</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3</cp:revision>
  <dcterms:created xsi:type="dcterms:W3CDTF">2019-11-05T07:10:00Z</dcterms:created>
  <dcterms:modified xsi:type="dcterms:W3CDTF">2019-11-06T09:44:00Z</dcterms:modified>
</cp:coreProperties>
</file>