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7F1C7" w14:textId="77777777" w:rsidR="000A6CF6" w:rsidRPr="0055151F" w:rsidRDefault="000A6CF6" w:rsidP="000A6CF6">
      <w:pPr>
        <w:pStyle w:val="Text"/>
        <w:spacing w:after="0"/>
        <w:outlineLvl w:val="1"/>
        <w:rPr>
          <w:rFonts w:ascii="GHEA Grapalat" w:hAnsi="GHEA Grapalat"/>
          <w:b/>
          <w:kern w:val="36"/>
          <w:sz w:val="24"/>
          <w:szCs w:val="24"/>
          <w:lang w:val="hy-AM"/>
        </w:rPr>
      </w:pPr>
      <w:r w:rsidRPr="00302438">
        <w:rPr>
          <w:rFonts w:ascii="GHEA Grapalat" w:hAnsi="GHEA Grapalat"/>
          <w:b/>
          <w:kern w:val="36"/>
          <w:sz w:val="24"/>
          <w:szCs w:val="24"/>
          <w:lang w:val="hy-AM"/>
        </w:rPr>
        <w:t>Հավելված N 2. Նոր նախաձեռնություններ</w:t>
      </w:r>
    </w:p>
    <w:p w14:paraId="49634D96" w14:textId="60B5B649" w:rsidR="000A6CF6" w:rsidRPr="0055151F" w:rsidRDefault="0055151F" w:rsidP="000A6CF6">
      <w:pPr>
        <w:pStyle w:val="Text"/>
        <w:spacing w:after="0"/>
        <w:outlineLvl w:val="1"/>
        <w:rPr>
          <w:rFonts w:ascii="GHEA Grapalat" w:hAnsi="GHEA Grapalat"/>
          <w:b/>
          <w:kern w:val="36"/>
          <w:sz w:val="24"/>
          <w:szCs w:val="24"/>
          <w:lang w:val="hy-AM"/>
        </w:rPr>
      </w:pPr>
      <w:r w:rsidRPr="0055151F">
        <w:rPr>
          <w:rFonts w:ascii="GHEA Grapalat" w:hAnsi="GHEA Grapalat"/>
          <w:b/>
          <w:kern w:val="36"/>
          <w:sz w:val="24"/>
          <w:szCs w:val="24"/>
          <w:lang w:val="hy-AM"/>
        </w:rPr>
        <w:t>Միջոցառում 1</w:t>
      </w:r>
    </w:p>
    <w:p w14:paraId="01A45BB9" w14:textId="77777777" w:rsidR="000A6CF6" w:rsidRPr="00302438" w:rsidRDefault="000A6CF6" w:rsidP="000A6CF6">
      <w:pPr>
        <w:pStyle w:val="Graphic"/>
        <w:rPr>
          <w:rFonts w:ascii="GHEA Grapalat" w:hAnsi="GHEA Grapalat" w:cs="Sylfaen"/>
          <w:b/>
          <w:i/>
          <w:iCs/>
          <w:sz w:val="24"/>
          <w:szCs w:val="24"/>
          <w:lang w:val="hy-AM"/>
        </w:rPr>
      </w:pPr>
    </w:p>
    <w:p w14:paraId="195F6EB9" w14:textId="77777777" w:rsidR="000A6CF6" w:rsidRPr="00302438" w:rsidRDefault="000A6CF6" w:rsidP="000A6CF6">
      <w:pPr>
        <w:pStyle w:val="Text"/>
        <w:spacing w:after="0"/>
        <w:rPr>
          <w:rFonts w:ascii="GHEA Grapalat" w:hAnsi="GHEA Grapalat" w:cs="Sylfaen"/>
          <w:b/>
          <w:iCs/>
          <w:sz w:val="24"/>
          <w:szCs w:val="24"/>
          <w:lang w:val="hy-AM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09"/>
        <w:gridCol w:w="1701"/>
        <w:gridCol w:w="1208"/>
        <w:gridCol w:w="1260"/>
        <w:gridCol w:w="1220"/>
        <w:gridCol w:w="3685"/>
      </w:tblGrid>
      <w:tr w:rsidR="00302438" w:rsidRPr="00302438" w14:paraId="6D1858B1" w14:textId="77777777" w:rsidTr="00AF3B45">
        <w:trPr>
          <w:trHeight w:val="156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7D27709E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1. Պետական մարմինը </w:t>
            </w:r>
          </w:p>
        </w:tc>
      </w:tr>
      <w:tr w:rsidR="00302438" w:rsidRPr="00302438" w14:paraId="7DD4EF24" w14:textId="77777777" w:rsidTr="00AF3B45">
        <w:trPr>
          <w:trHeight w:val="8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0F6720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1.1 Պետական մարմնի անվանումը՝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302438">
              <w:rPr>
                <w:rFonts w:ascii="GHEA Grapalat" w:hAnsi="GHEA Grapalat"/>
                <w:b/>
                <w:lang w:val="hy-AM"/>
              </w:rPr>
              <w:t>ՀՀ  աշխատանքի և սոցիալական հարցերի նախարարություն</w:t>
            </w:r>
            <w:r w:rsidRPr="0030243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302438">
              <w:rPr>
                <w:rFonts w:ascii="GHEA Grapalat" w:hAnsi="GHEA Grapalat"/>
                <w:sz w:val="20"/>
                <w:szCs w:val="20"/>
              </w:rPr>
              <w:tab/>
            </w:r>
          </w:p>
          <w:p w14:paraId="1BF414F6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1.2</w:t>
            </w:r>
            <w:r w:rsidRPr="00302438">
              <w:rPr>
                <w:rFonts w:ascii="GHEA Grapalat" w:hAnsi="GHEA Grapalat"/>
                <w:sz w:val="28"/>
                <w:szCs w:val="28"/>
                <w:lang w:val="hy-AM"/>
              </w:rPr>
              <w:t xml:space="preserve">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Նոր նախաձեռնությանն առնչվող այլ պետական մարմինների անվանումները</w:t>
            </w:r>
            <w:r w:rsidRPr="00302438">
              <w:rPr>
                <w:rFonts w:ascii="GHEA Grapalat" w:hAnsi="GHEA Grapalat"/>
                <w:lang w:val="hy-AM"/>
              </w:rPr>
              <w:t xml:space="preserve">՝ </w:t>
            </w:r>
            <w:r w:rsidRPr="00302438">
              <w:rPr>
                <w:rFonts w:ascii="GHEA Grapalat" w:hAnsi="GHEA Grapalat"/>
                <w:vertAlign w:val="superscript"/>
                <w:lang w:val="hy-AM"/>
              </w:rPr>
              <w:t xml:space="preserve"> </w:t>
            </w:r>
            <w:r w:rsidRPr="00302438">
              <w:rPr>
                <w:rFonts w:ascii="GHEA Grapalat" w:hAnsi="GHEA Grapalat"/>
                <w:lang w:val="hy-AM"/>
              </w:rPr>
              <w:t>քաղաքաշինության կոմիտե</w:t>
            </w:r>
          </w:p>
        </w:tc>
      </w:tr>
      <w:tr w:rsidR="00302438" w:rsidRPr="00302438" w14:paraId="7AC65229" w14:textId="77777777" w:rsidTr="00AF3B45">
        <w:trPr>
          <w:trHeight w:val="258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6CE726BF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2. Ծրագիրը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</w:p>
        </w:tc>
      </w:tr>
      <w:tr w:rsidR="00302438" w:rsidRPr="00302438" w14:paraId="1AE5CD9D" w14:textId="77777777" w:rsidTr="00AF3B45">
        <w:trPr>
          <w:trHeight w:val="1024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4AFAF0" w14:textId="42C41872" w:rsidR="000A6CF6" w:rsidRPr="00302438" w:rsidRDefault="000A6CF6" w:rsidP="00AF3B4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kern w:val="16"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2.1 Ծրագրի անվանումը՝ </w:t>
            </w:r>
            <w:r w:rsidRPr="00302438">
              <w:rPr>
                <w:rFonts w:ascii="GHEA Grapalat" w:hAnsi="GHEA Grapalat"/>
                <w:sz w:val="20"/>
                <w:szCs w:val="20"/>
              </w:rPr>
              <w:tab/>
            </w:r>
            <w:r w:rsidR="005C05DE" w:rsidRPr="00302438">
              <w:rPr>
                <w:rFonts w:ascii="GHEA Grapalat" w:hAnsi="GHEA Grapalat" w:cs="Sylfaen"/>
                <w:b/>
                <w:bCs/>
                <w:iCs/>
                <w:lang w:val="hy-AM"/>
              </w:rPr>
              <w:t>Անապահովսոցիալական խմբերին աջակցություն</w:t>
            </w:r>
            <w:r w:rsidRPr="00302438">
              <w:rPr>
                <w:rFonts w:ascii="GHEA Grapalat" w:hAnsi="GHEA Grapalat" w:cs="Sylfaen"/>
                <w:b/>
                <w:lang w:val="hy-AM"/>
              </w:rPr>
              <w:t xml:space="preserve"> </w:t>
            </w:r>
          </w:p>
          <w:p w14:paraId="48898F65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04EF719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 xml:space="preserve">2.2 Ծրագրի դասիչը՝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302438">
              <w:rPr>
                <w:rFonts w:ascii="GHEA Grapalat" w:hAnsi="GHEA Grapalat"/>
                <w:b/>
                <w:lang w:val="de-AT"/>
              </w:rPr>
              <w:t>10</w:t>
            </w:r>
            <w:r w:rsidRPr="00302438">
              <w:rPr>
                <w:rFonts w:ascii="GHEA Grapalat" w:hAnsi="GHEA Grapalat"/>
                <w:b/>
                <w:lang w:val="hy-AM"/>
              </w:rPr>
              <w:t>11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</w:p>
          <w:p w14:paraId="506A5904" w14:textId="5A64A595" w:rsidR="000A6CF6" w:rsidRPr="00302438" w:rsidRDefault="000A6CF6" w:rsidP="00AF3B45">
            <w:pPr>
              <w:spacing w:after="0" w:line="240" w:lineRule="auto"/>
              <w:ind w:firstLine="567"/>
              <w:jc w:val="both"/>
              <w:rPr>
                <w:rFonts w:ascii="GHEA Grapalat" w:hAnsi="GHEA Grapalat"/>
                <w:bCs/>
                <w:lang w:val="hy-AM"/>
              </w:rPr>
            </w:pP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2.3</w:t>
            </w:r>
            <w:r w:rsidR="00F57474">
              <w:rPr>
                <w:rFonts w:ascii="GHEA Grapalat" w:hAnsi="GHEA Grapalat"/>
                <w:sz w:val="28"/>
                <w:szCs w:val="28"/>
                <w:lang w:val="hy-AM"/>
              </w:rPr>
              <w:t xml:space="preserve">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ծրագիր (հիմնավորումներ և բացատրություններ)՝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302438">
              <w:rPr>
                <w:rFonts w:ascii="GHEA Grapalat" w:eastAsia="Calibri" w:hAnsi="GHEA Grapalat" w:cs="Times New Roman"/>
                <w:lang w:val="hy-AM"/>
              </w:rPr>
              <w:t xml:space="preserve">ՀՀ վիճակագրական կոմիտեն, Համաշխարհային բանկի աջակցությամբ յուրաքանչյուր տարի իրականացվող ՏՏԿԱՀ- շրջանակում գնահատված բազմաչափ աղքատության ցուցանիշների համաձայն՝ գերբնակեցվածության ցուցանիշը 2019թ. նախորդ տարվա համեմատությամբ աճել է 2.8 տոկոսային կետով։ Գերբեռնվածության խնդիրը առավել ցայտուն է բազմանդամ, այդ թվում բազմաավակ ընտանիքների մոտ։ Նույն սոցիալական խմբում նաև աղքատության մակարդակն է բարձր։ </w:t>
            </w:r>
          </w:p>
        </w:tc>
      </w:tr>
      <w:tr w:rsidR="00302438" w:rsidRPr="00302438" w14:paraId="159A8D00" w14:textId="77777777" w:rsidTr="00AF3B45">
        <w:trPr>
          <w:trHeight w:val="258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7D0DCDBB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3. Միջոցառումը </w:t>
            </w:r>
          </w:p>
        </w:tc>
      </w:tr>
      <w:tr w:rsidR="00302438" w:rsidRPr="00302438" w14:paraId="16FEBC21" w14:textId="77777777" w:rsidTr="00AF3B45">
        <w:trPr>
          <w:trHeight w:val="415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1FFB76" w14:textId="55E0F5BF" w:rsidR="000A6CF6" w:rsidRPr="00302438" w:rsidRDefault="000A6CF6" w:rsidP="005C05DE">
            <w:pPr>
              <w:spacing w:after="0" w:line="240" w:lineRule="auto"/>
              <w:ind w:left="-93"/>
              <w:jc w:val="both"/>
              <w:rPr>
                <w:rFonts w:ascii="GHEA Grapalat" w:hAnsi="GHEA Grapalat" w:cs="Garamond"/>
                <w:lang w:val="hy-AM"/>
              </w:rPr>
            </w:pPr>
            <w:r w:rsidRPr="00302438">
              <w:rPr>
                <w:rFonts w:ascii="GHEA Grapalat" w:hAnsi="GHEA Grapalat"/>
                <w:bCs/>
                <w:lang w:val="hy-AM"/>
              </w:rPr>
              <w:t xml:space="preserve">Սոցիալապես անապահով ընտանիքների բնակարանային ապահովում </w:t>
            </w:r>
            <w:r w:rsidRPr="00302438">
              <w:rPr>
                <w:rFonts w:ascii="GHEA Grapalat" w:hAnsi="GHEA Grapalat"/>
                <w:lang w:val="hy-AM"/>
              </w:rPr>
              <w:t xml:space="preserve">   </w:t>
            </w:r>
          </w:p>
        </w:tc>
      </w:tr>
      <w:tr w:rsidR="00302438" w:rsidRPr="00302438" w14:paraId="74B8D289" w14:textId="77777777" w:rsidTr="00AF3B45">
        <w:trPr>
          <w:trHeight w:val="258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458404CC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4. Նպատակը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>16</w:t>
            </w:r>
            <w:r w:rsidRPr="00302438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302438" w:rsidRPr="00302438" w14:paraId="37AF3EFF" w14:textId="77777777" w:rsidTr="00AF3B45">
        <w:trPr>
          <w:trHeight w:val="696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171B619" w14:textId="7FDD1D42" w:rsidR="000A6CF6" w:rsidRPr="00302438" w:rsidRDefault="000A6CF6" w:rsidP="00AF3B4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302438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   </w:t>
            </w:r>
            <w:r w:rsidRPr="00302438">
              <w:rPr>
                <w:rFonts w:ascii="GHEA Grapalat" w:hAnsi="GHEA Grapalat"/>
                <w:bCs/>
                <w:sz w:val="22"/>
                <w:szCs w:val="22"/>
              </w:rPr>
              <w:t>Նպատակը</w:t>
            </w:r>
            <w:r w:rsidRPr="00302438">
              <w:rPr>
                <w:rFonts w:ascii="GHEA Grapalat" w:hAnsi="GHEA Grapalat"/>
                <w:bCs/>
                <w:sz w:val="22"/>
                <w:szCs w:val="22"/>
                <w:lang w:val="ru-RU"/>
              </w:rPr>
              <w:t xml:space="preserve"> </w:t>
            </w:r>
            <w:r w:rsidRPr="00302438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բազմազավակ աղքատ ընտանիքներին բնակարանի ապահովման միջոցով ստեղծել մեկնարկային հավասար պայմաններ ընտանիքի յուրաքանչյուր անդամի, հատկապես երեխաների եր</w:t>
            </w:r>
            <w:r w:rsidR="005C05DE" w:rsidRPr="00302438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</w:t>
            </w:r>
            <w:r w:rsidRPr="00302438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շխավորված վստահելի ապագա կառուցելու տեսանկյունից։</w:t>
            </w:r>
          </w:p>
          <w:p w14:paraId="3263BF50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02438" w:rsidRPr="00302438" w14:paraId="6D35AECF" w14:textId="77777777" w:rsidTr="00AF3B45">
        <w:trPr>
          <w:trHeight w:val="298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59109BCB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lastRenderedPageBreak/>
              <w:t xml:space="preserve">5. Նկարագրությունը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17 </w:t>
            </w:r>
          </w:p>
        </w:tc>
      </w:tr>
      <w:tr w:rsidR="00302438" w:rsidRPr="00302438" w14:paraId="31C7BA61" w14:textId="77777777" w:rsidTr="00AF3B45">
        <w:trPr>
          <w:trHeight w:val="641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8022E6" w14:textId="5AFB80A3" w:rsidR="000A6CF6" w:rsidRPr="0055151F" w:rsidRDefault="000A6CF6" w:rsidP="005C05DE">
            <w:pPr>
              <w:spacing w:line="240" w:lineRule="auto"/>
              <w:jc w:val="both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bCs/>
                <w:lang w:val="hy-AM"/>
              </w:rPr>
              <w:t xml:space="preserve">      </w:t>
            </w:r>
            <w:r w:rsidRPr="00302438">
              <w:rPr>
                <w:rFonts w:ascii="GHEA Grapalat" w:hAnsi="GHEA Grapalat"/>
                <w:bCs/>
                <w:lang w:val="hy-AM"/>
              </w:rPr>
              <w:t xml:space="preserve">Սույն միջոցառման շրջանում նախատեսվում է ընտանիքի սոցիալական գնահատման համակարգում հաշվառված, ընտանեկան նպաստի իրավունք ունեցող շուրջ </w:t>
            </w:r>
            <w:r w:rsidR="005C05DE" w:rsidRPr="00302438">
              <w:rPr>
                <w:rFonts w:ascii="GHEA Grapalat" w:hAnsi="GHEA Grapalat"/>
                <w:bCs/>
                <w:lang w:val="hy-AM"/>
              </w:rPr>
              <w:t>400</w:t>
            </w:r>
            <w:r w:rsidRPr="00302438">
              <w:rPr>
                <w:rFonts w:ascii="GHEA Grapalat" w:hAnsi="GHEA Grapalat"/>
                <w:bCs/>
                <w:lang w:val="hy-AM"/>
              </w:rPr>
              <w:t xml:space="preserve"> ընտանիքներին, մարզերում, առավելապես գյուղական բնակավայրերում բնակվելու պարագայում տրամադրել սոցիալական հիպոտեք՝ 20 տարի ժամկետով, 8 տոկոս դրույքաչափով</w:t>
            </w:r>
            <w:r w:rsidR="005C05DE" w:rsidRPr="00302438">
              <w:rPr>
                <w:rFonts w:ascii="GHEA Grapalat" w:hAnsi="GHEA Grapalat"/>
                <w:bCs/>
                <w:lang w:val="hy-AM"/>
              </w:rPr>
              <w:t>, միջինում 5 մլն դրամի չափով</w:t>
            </w:r>
            <w:r w:rsidRPr="00302438">
              <w:rPr>
                <w:rFonts w:ascii="GHEA Grapalat" w:hAnsi="GHEA Grapalat"/>
                <w:bCs/>
                <w:lang w:val="hy-AM"/>
              </w:rPr>
              <w:t xml:space="preserve">։ Ֆինանսավորումն իրականցվելու է ամբողջությամբ պետական  բյուջեի միջոցներից, ձեռք բերված բնակարանը օտարման ենթակա չէ, քանի որ ձևակերպվում է որպես հիպոտեք։ </w:t>
            </w:r>
            <w:r w:rsidRPr="0055151F">
              <w:rPr>
                <w:rFonts w:ascii="GHEA Grapalat" w:hAnsi="GHEA Grapalat"/>
                <w:bCs/>
                <w:lang w:val="hy-AM"/>
              </w:rPr>
              <w:t xml:space="preserve">Ընդ որում ավելի ցածր գնով կացարան ձեռք բերելու դեպքում, մայր գումարի տնտեսված </w:t>
            </w:r>
            <w:r w:rsidR="005C05DE" w:rsidRPr="0055151F">
              <w:rPr>
                <w:rFonts w:ascii="GHEA Grapalat" w:hAnsi="GHEA Grapalat"/>
                <w:bCs/>
                <w:lang w:val="hy-AM"/>
              </w:rPr>
              <w:t>գ</w:t>
            </w:r>
            <w:r w:rsidRPr="0055151F">
              <w:rPr>
                <w:rFonts w:ascii="GHEA Grapalat" w:hAnsi="GHEA Grapalat"/>
                <w:bCs/>
                <w:lang w:val="hy-AM"/>
              </w:rPr>
              <w:t>ումարը կարող է ընտանիքն օգտագործել որպես կայուն եկամուտ ստեղծելու հնարավորություն (բիզնես ծրագրեր, առավելապես գյուղանտեսական բնույթի)</w:t>
            </w:r>
            <w:r w:rsidR="0055151F" w:rsidRPr="0055151F">
              <w:rPr>
                <w:rFonts w:ascii="GHEA Grapalat" w:hAnsi="GHEA Grapalat"/>
                <w:bCs/>
                <w:lang w:val="hy-AM"/>
              </w:rPr>
              <w:t>:</w:t>
            </w:r>
          </w:p>
        </w:tc>
      </w:tr>
      <w:tr w:rsidR="00302438" w:rsidRPr="00302438" w14:paraId="55816A4E" w14:textId="77777777" w:rsidTr="00AF3B45">
        <w:trPr>
          <w:trHeight w:val="298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5645F97F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6. Սպասվող օգուտները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18 </w:t>
            </w:r>
          </w:p>
        </w:tc>
      </w:tr>
      <w:tr w:rsidR="00302438" w:rsidRPr="00302438" w14:paraId="5F1520F4" w14:textId="77777777" w:rsidTr="00AF3B45">
        <w:trPr>
          <w:trHeight w:val="641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0D82520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Օգուտը`</w:t>
            </w:r>
            <w:r w:rsidRPr="00302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բազմազավակ ընտանիքի երեխաների կրթության, առողջության ապահովման միջոցով ապագայի կայացած, ինքնորոշված որոշումներ կայացնող ՀՀ քաղաքացի կերտելը</w:t>
            </w:r>
            <w:r w:rsidRPr="00302438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302438" w:rsidRPr="00302438" w14:paraId="7343F3FF" w14:textId="77777777" w:rsidTr="00AF3B45">
        <w:trPr>
          <w:trHeight w:val="231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489E12CC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7. Նոր նախաձեռնությունը չֆինանսավորելու դեպքում ծագող խնդիրները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19 </w:t>
            </w:r>
          </w:p>
        </w:tc>
      </w:tr>
      <w:tr w:rsidR="00302438" w:rsidRPr="00302438" w14:paraId="0EEB4E83" w14:textId="77777777" w:rsidTr="00AF3B45">
        <w:trPr>
          <w:trHeight w:val="698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F48051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Սույն միջոցառման չֆինանսավորման դեպքում բազմազավակ ընտանիքների շրջանում աղքատության խորացում, դրանցում խնամվող երեխաների ապագա զարգացման համար ոչ բարենպաստ իրավիճակի խորացում։</w:t>
            </w:r>
            <w:r w:rsidRPr="00302438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302438" w:rsidRPr="00302438" w14:paraId="5554C77C" w14:textId="77777777" w:rsidTr="00AF3B45">
        <w:tc>
          <w:tcPr>
            <w:tcW w:w="52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2FBC12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8.Արդյունքային չափորոշիչները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20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4EFF7D" w14:textId="77777777" w:rsidR="000A6CF6" w:rsidRPr="00302438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Չափի միավորը</w:t>
            </w:r>
          </w:p>
        </w:tc>
        <w:tc>
          <w:tcPr>
            <w:tcW w:w="12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AC4F79" w14:textId="77777777" w:rsidR="000A6CF6" w:rsidRPr="00302438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2</w:t>
            </w:r>
            <w:r w:rsidRPr="00302438">
              <w:rPr>
                <w:rFonts w:ascii="GHEA Grapalat" w:hAnsi="GHEA Grapalat"/>
                <w:sz w:val="20"/>
                <w:szCs w:val="20"/>
              </w:rPr>
              <w:t xml:space="preserve">թ.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1D8D6" w14:textId="77777777" w:rsidR="000A6CF6" w:rsidRPr="00302438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3</w:t>
            </w:r>
            <w:r w:rsidRPr="00302438">
              <w:rPr>
                <w:rFonts w:ascii="GHEA Grapalat" w:hAnsi="GHEA Grapalat"/>
                <w:sz w:val="20"/>
                <w:szCs w:val="20"/>
              </w:rPr>
              <w:t>թ.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98313A" w14:textId="77777777" w:rsidR="000A6CF6" w:rsidRPr="00302438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4</w:t>
            </w:r>
            <w:r w:rsidRPr="00302438">
              <w:rPr>
                <w:rFonts w:ascii="GHEA Grapalat" w:hAnsi="GHEA Grapalat"/>
                <w:sz w:val="20"/>
                <w:szCs w:val="20"/>
              </w:rPr>
              <w:t>թ.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3BA573B5" w14:textId="77777777" w:rsidR="000A6CF6" w:rsidRPr="00302438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 w:cs="Sylfaen"/>
                <w:i/>
                <w:sz w:val="20"/>
                <w:szCs w:val="20"/>
              </w:rPr>
              <w:t xml:space="preserve">Միջոցառման ավարտի տարեթիվը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21 </w:t>
            </w:r>
          </w:p>
        </w:tc>
      </w:tr>
      <w:tr w:rsidR="00302438" w:rsidRPr="0055151F" w14:paraId="1EF506CD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75CCFE" w14:textId="77777777" w:rsidR="00647E79" w:rsidRPr="00F57474" w:rsidRDefault="00647E79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57474">
              <w:rPr>
                <w:rFonts w:ascii="GHEA Grapalat" w:hAnsi="GHEA Grapalat"/>
                <w:sz w:val="18"/>
                <w:szCs w:val="18"/>
                <w:lang w:val="hy-AM"/>
              </w:rPr>
              <w:t>Սոցիալական հիպոտք ստացած ընտանիք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0A29" w14:textId="77777777" w:rsidR="00647E79" w:rsidRPr="00F57474" w:rsidRDefault="00647E79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57474">
              <w:rPr>
                <w:rFonts w:ascii="GHEA Grapalat" w:hAnsi="GHEA Grapalat"/>
                <w:sz w:val="18"/>
                <w:szCs w:val="18"/>
                <w:lang w:val="hy-AM"/>
              </w:rPr>
              <w:t>ընտանիք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139" w14:textId="167D01E5" w:rsidR="00647E79" w:rsidRPr="00F57474" w:rsidRDefault="00647E79" w:rsidP="00647E79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F57474">
              <w:rPr>
                <w:rFonts w:ascii="GHEA Grapalat" w:eastAsia="Times New Roman" w:hAnsi="GHEA Grapalat" w:cs="GHEA Grapalat" w:hint="eastAsia"/>
                <w:sz w:val="18"/>
                <w:szCs w:val="18"/>
                <w:lang w:val="hy-AM" w:eastAsia="ru-RU"/>
              </w:rPr>
              <w:t xml:space="preserve">. </w:t>
            </w: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18BD" w14:textId="2A3F260F" w:rsidR="00647E79" w:rsidRPr="00F57474" w:rsidRDefault="00647E79" w:rsidP="0055151F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 xml:space="preserve">. </w:t>
            </w: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ED1E" w14:textId="4D0A6BD0" w:rsidR="00647E79" w:rsidRPr="00F57474" w:rsidRDefault="00647E79" w:rsidP="0055151F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 xml:space="preserve">. </w:t>
            </w: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02654D" w14:textId="77777777" w:rsidR="00647E79" w:rsidRPr="00F57474" w:rsidRDefault="00647E79" w:rsidP="0055151F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F57474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2024թ.</w:t>
            </w:r>
          </w:p>
        </w:tc>
      </w:tr>
      <w:tr w:rsidR="00302438" w:rsidRPr="0055151F" w14:paraId="6903C1D9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B96B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AA2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8DBE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AA82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1A11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92B3AC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02438" w:rsidRPr="0055151F" w14:paraId="566DB359" w14:textId="77777777" w:rsidTr="00AF3B45">
        <w:tc>
          <w:tcPr>
            <w:tcW w:w="52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307F1E" w14:textId="77777777" w:rsidR="000A6CF6" w:rsidRPr="0055151F" w:rsidRDefault="000A6CF6" w:rsidP="00AF3B4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 xml:space="preserve">9. Պահանջվող ռեսուրսները </w:t>
            </w:r>
            <w:r w:rsidRPr="0055151F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22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898134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ՀՀ դրամ</w:t>
            </w:r>
          </w:p>
        </w:tc>
        <w:tc>
          <w:tcPr>
            <w:tcW w:w="12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2EA9E5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2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86F5C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3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թ.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150CF7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4</w:t>
            </w:r>
            <w:r w:rsidRPr="0055151F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609F32D3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Միջոցառման ավարտի տարեթիվը</w:t>
            </w:r>
          </w:p>
        </w:tc>
      </w:tr>
      <w:tr w:rsidR="00302438" w:rsidRPr="0055151F" w14:paraId="2BDD3F63" w14:textId="77777777" w:rsidTr="00AF3B45">
        <w:trPr>
          <w:trHeight w:val="147"/>
        </w:trPr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9865059" w14:textId="77777777" w:rsidR="00647E79" w:rsidRPr="00DD583C" w:rsidRDefault="00647E79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Պետական բյուջե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3934" w14:textId="77777777" w:rsidR="00647E79" w:rsidRPr="00DD583C" w:rsidRDefault="00647E79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5AE" w14:textId="046447D9" w:rsidR="00647E79" w:rsidRPr="00DD583C" w:rsidRDefault="00647E79" w:rsidP="00AF3B45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.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 xml:space="preserve"> 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396" w14:textId="7FF03B48" w:rsidR="00647E79" w:rsidRPr="00DD583C" w:rsidRDefault="00647E79" w:rsidP="00AF3B45">
            <w:pPr>
              <w:ind w:left="-108"/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DD583C">
              <w:rPr>
                <w:rFonts w:ascii="GHEA Grapalat" w:eastAsia="Times New Roman" w:hAnsi="GHEA Grapalat" w:cs="GHEA Grapalat" w:hint="eastAsia"/>
                <w:sz w:val="18"/>
                <w:szCs w:val="18"/>
                <w:lang w:val="hy-AM" w:eastAsia="ru-RU"/>
              </w:rPr>
              <w:t xml:space="preserve">. 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B999" w14:textId="4C252FFB" w:rsidR="00647E79" w:rsidRPr="00DD583C" w:rsidRDefault="00647E79" w:rsidP="00AF3B45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="0055151F"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.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 xml:space="preserve"> դրամ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412961" w14:textId="77777777" w:rsidR="00647E79" w:rsidRPr="00DD583C" w:rsidRDefault="00647E79" w:rsidP="00AF3B45">
            <w:pPr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2024թ.</w:t>
            </w:r>
          </w:p>
        </w:tc>
      </w:tr>
      <w:tr w:rsidR="00302438" w:rsidRPr="0055151F" w14:paraId="658151DB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87F0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ED42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EC78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9C38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0E73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FF2027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02438" w:rsidRPr="0055151F" w14:paraId="563083F7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28A9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96A9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C53D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6197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D30B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F64135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02438" w:rsidRPr="0055151F" w14:paraId="52CF66C5" w14:textId="77777777" w:rsidTr="00AF3B45">
        <w:tc>
          <w:tcPr>
            <w:tcW w:w="52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438249" w14:textId="77777777" w:rsidR="000A6CF6" w:rsidRPr="0055151F" w:rsidRDefault="000A6CF6" w:rsidP="00AF3B4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 xml:space="preserve">10. Ֆինանսավորման աղբյուրը </w:t>
            </w:r>
            <w:r w:rsidRPr="0055151F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23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E9DF0C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ՀՀ դրամ</w:t>
            </w:r>
          </w:p>
        </w:tc>
        <w:tc>
          <w:tcPr>
            <w:tcW w:w="12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1E8F80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2</w:t>
            </w:r>
            <w:r w:rsidRPr="0055151F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73E78E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3</w:t>
            </w:r>
            <w:r w:rsidRPr="0055151F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872C6B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302438">
              <w:rPr>
                <w:sz w:val="20"/>
                <w:szCs w:val="20"/>
                <w:lang w:val="hy-AM"/>
              </w:rPr>
              <w:t>4</w:t>
            </w:r>
            <w:r w:rsidRPr="0055151F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55151F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79BFEC0B" w14:textId="77777777" w:rsidR="000A6CF6" w:rsidRPr="0055151F" w:rsidRDefault="000A6CF6" w:rsidP="00AF3B4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5151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Միջոցառման ավարտի տարեթիվը</w:t>
            </w:r>
          </w:p>
        </w:tc>
      </w:tr>
      <w:tr w:rsidR="00D92886" w:rsidRPr="00302438" w14:paraId="5C0B2BD7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684F" w14:textId="77777777" w:rsidR="00D92886" w:rsidRPr="00DD583C" w:rsidRDefault="00D9288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bookmarkStart w:id="0" w:name="_GoBack" w:colFirst="0" w:colLast="5"/>
            <w:r w:rsidRPr="00DD583C">
              <w:rPr>
                <w:rFonts w:ascii="GHEA Grapalat" w:hAnsi="GHEA Grapalat"/>
                <w:sz w:val="18"/>
                <w:szCs w:val="18"/>
                <w:lang w:val="hy-AM"/>
              </w:rPr>
              <w:t>Պե</w:t>
            </w:r>
            <w:r w:rsidRPr="00DD583C">
              <w:rPr>
                <w:rFonts w:ascii="GHEA Grapalat" w:hAnsi="GHEA Grapalat"/>
                <w:sz w:val="18"/>
                <w:szCs w:val="18"/>
              </w:rPr>
              <w:t>տական բյուջե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893E" w14:textId="77777777" w:rsidR="00D92886" w:rsidRPr="00DD583C" w:rsidRDefault="00D9288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1B1E" w14:textId="50603856" w:rsidR="00D92886" w:rsidRPr="00DD583C" w:rsidRDefault="00D92886" w:rsidP="00AF3B45">
            <w:pPr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հազ. 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10A8" w14:textId="323BF9B9" w:rsidR="00D92886" w:rsidRPr="00DD583C" w:rsidRDefault="00D92886" w:rsidP="00AF3B45">
            <w:pPr>
              <w:ind w:left="-108"/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Pr="00DD583C">
              <w:rPr>
                <w:rFonts w:ascii="GHEA Grapalat" w:eastAsia="Times New Roman" w:hAnsi="GHEA Grapalat" w:cs="GHEA Grapalat" w:hint="eastAsia"/>
                <w:sz w:val="18"/>
                <w:szCs w:val="18"/>
                <w:lang w:val="hy-AM" w:eastAsia="ru-RU"/>
              </w:rPr>
              <w:t xml:space="preserve">. 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F72B" w14:textId="7E839AC7" w:rsidR="00D92886" w:rsidRPr="00DD583C" w:rsidRDefault="00D92886" w:rsidP="00AF3B45">
            <w:pPr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հազ. դրամ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2CE2F2" w14:textId="3A62F44B" w:rsidR="00D92886" w:rsidRPr="00DD583C" w:rsidRDefault="00D9288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2024</w:t>
            </w:r>
            <w:r w:rsidR="00537A86"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 xml:space="preserve"> 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թ</w:t>
            </w:r>
            <w:r w:rsidR="00537A86"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.</w:t>
            </w:r>
          </w:p>
        </w:tc>
      </w:tr>
      <w:tr w:rsidR="00302438" w:rsidRPr="00302438" w14:paraId="07D3E878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AD59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Այլ աղբյուրներ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0BCB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4A21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B699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C08F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799F18A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</w:tr>
      <w:tr w:rsidR="00302438" w:rsidRPr="00302438" w14:paraId="1238CA46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F2F2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2653" w14:textId="77777777" w:rsidR="000A6CF6" w:rsidRPr="00DD583C" w:rsidRDefault="000A6CF6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404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E3CC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FD2C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CD68C2" w14:textId="77777777" w:rsidR="000A6CF6" w:rsidRPr="00DD583C" w:rsidRDefault="000A6CF6" w:rsidP="00AF3B4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4E50C7" w:rsidRPr="00302438" w14:paraId="62ACE185" w14:textId="77777777" w:rsidTr="00AF3B45">
        <w:tc>
          <w:tcPr>
            <w:tcW w:w="52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7B49335" w14:textId="77777777" w:rsidR="004E50C7" w:rsidRPr="00DD583C" w:rsidRDefault="004E50C7" w:rsidP="00AF3B45">
            <w:pPr>
              <w:rPr>
                <w:rFonts w:ascii="GHEA Grapalat" w:hAnsi="GHEA Grapalat"/>
                <w:sz w:val="18"/>
                <w:szCs w:val="18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Ընդամենը պետական բյուջեի և այլ աղբյուրների գծով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5801F6F" w14:textId="77777777" w:rsidR="004E50C7" w:rsidRPr="00DD583C" w:rsidRDefault="004E50C7" w:rsidP="00AF3B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D583C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42D498" w14:textId="62789F34" w:rsidR="004E50C7" w:rsidRPr="00DD583C" w:rsidRDefault="004E50C7" w:rsidP="00AF3B45">
            <w:pPr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հազ. 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1E29AF2" w14:textId="067644CB" w:rsidR="004E50C7" w:rsidRPr="00DD583C" w:rsidRDefault="004E50C7" w:rsidP="00AF3B45">
            <w:pPr>
              <w:ind w:left="-108"/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</w:t>
            </w:r>
            <w:r w:rsidRPr="00DD583C">
              <w:rPr>
                <w:rFonts w:ascii="GHEA Grapalat" w:eastAsia="Times New Roman" w:hAnsi="GHEA Grapalat" w:cs="GHEA Grapalat" w:hint="eastAsia"/>
                <w:sz w:val="18"/>
                <w:szCs w:val="18"/>
                <w:lang w:val="hy-AM" w:eastAsia="ru-RU"/>
              </w:rPr>
              <w:t xml:space="preserve">. </w:t>
            </w: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դրամ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D5EF394" w14:textId="7D581B2C" w:rsidR="004E50C7" w:rsidRPr="00DD583C" w:rsidRDefault="004E50C7" w:rsidP="00AF3B45">
            <w:pPr>
              <w:rPr>
                <w:sz w:val="18"/>
                <w:szCs w:val="18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2,000,000.0 հազ. դրամ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EB3616A" w14:textId="77777777" w:rsidR="004E50C7" w:rsidRPr="00DD583C" w:rsidRDefault="004E50C7" w:rsidP="00AF3B4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D583C">
              <w:rPr>
                <w:rFonts w:ascii="GHEA Grapalat" w:eastAsia="Times New Roman" w:hAnsi="GHEA Grapalat" w:cs="GHEA Grapalat"/>
                <w:sz w:val="18"/>
                <w:szCs w:val="18"/>
                <w:lang w:val="hy-AM" w:eastAsia="ru-RU"/>
              </w:rPr>
              <w:t>2024թ.</w:t>
            </w:r>
          </w:p>
        </w:tc>
      </w:tr>
      <w:bookmarkEnd w:id="0"/>
      <w:tr w:rsidR="00302438" w:rsidRPr="00302438" w14:paraId="4EAA7F85" w14:textId="77777777" w:rsidTr="00AF3B45">
        <w:trPr>
          <w:trHeight w:val="177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1D548622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11. Արդյունքների այլ մակարդակներ արտահայտող այլընտրանքներ</w:t>
            </w:r>
          </w:p>
        </w:tc>
      </w:tr>
      <w:tr w:rsidR="00302438" w:rsidRPr="00302438" w14:paraId="3BB32805" w14:textId="77777777" w:rsidTr="00AF3B45">
        <w:trPr>
          <w:trHeight w:val="558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EB01DB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Այլընտրանք # 2 (նվազագույն արդյունքների սցենար)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24 </w:t>
            </w:r>
          </w:p>
        </w:tc>
      </w:tr>
      <w:tr w:rsidR="00302438" w:rsidRPr="00302438" w14:paraId="6CC8E0B0" w14:textId="77777777" w:rsidTr="00AF3B45">
        <w:trPr>
          <w:trHeight w:val="177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63130C39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12. 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նախաձեռնության </w:t>
            </w:r>
            <w:r w:rsidRPr="00302438">
              <w:rPr>
                <w:rFonts w:ascii="GHEA Grapalat" w:hAnsi="GHEA Grapalat"/>
                <w:sz w:val="20"/>
                <w:szCs w:val="20"/>
              </w:rPr>
              <w:t xml:space="preserve">իրականացման այլ եղանակներ արտահայտող այլընտրանքներ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25 </w:t>
            </w:r>
          </w:p>
        </w:tc>
      </w:tr>
      <w:tr w:rsidR="00302438" w:rsidRPr="00302438" w14:paraId="260E89F8" w14:textId="77777777" w:rsidTr="00AF3B45">
        <w:trPr>
          <w:trHeight w:val="546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160B50C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Այլընտրանք</w:t>
            </w:r>
            <w:r w:rsidRPr="00302438">
              <w:rPr>
                <w:rFonts w:ascii="GHEA Grapalat" w:hAnsi="GHEA Grapalat"/>
                <w:sz w:val="20"/>
                <w:szCs w:val="20"/>
                <w:lang w:val="hy-AM"/>
              </w:rPr>
              <w:t>: բնակարանային շինարարություն, որն ավելի ծախսատար է</w:t>
            </w:r>
            <w:r w:rsidRPr="00302438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302438" w:rsidRPr="00302438" w14:paraId="3704080E" w14:textId="77777777" w:rsidTr="00AF3B45">
        <w:trPr>
          <w:trHeight w:val="41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CFA545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>Այլընտրանք # ...</w:t>
            </w:r>
          </w:p>
        </w:tc>
      </w:tr>
      <w:tr w:rsidR="00302438" w:rsidRPr="00302438" w14:paraId="4C4EBFC0" w14:textId="77777777" w:rsidTr="00AF3B45">
        <w:trPr>
          <w:trHeight w:val="177"/>
        </w:trPr>
        <w:tc>
          <w:tcPr>
            <w:tcW w:w="14283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hideMark/>
          </w:tcPr>
          <w:p w14:paraId="30B5DF92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  <w:r w:rsidRPr="00302438">
              <w:rPr>
                <w:rFonts w:ascii="GHEA Grapalat" w:hAnsi="GHEA Grapalat"/>
                <w:sz w:val="20"/>
                <w:szCs w:val="20"/>
              </w:rPr>
              <w:t xml:space="preserve">13.Այլ անհրաժեշտ տեղեկատվություն և հիմնավորումներ </w:t>
            </w:r>
            <w:r w:rsidRPr="00302438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26 </w:t>
            </w:r>
          </w:p>
        </w:tc>
      </w:tr>
      <w:tr w:rsidR="00D92886" w:rsidRPr="00302438" w14:paraId="369616CD" w14:textId="77777777" w:rsidTr="00AF3B45">
        <w:trPr>
          <w:trHeight w:val="666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1F0F2E" w14:textId="77777777" w:rsidR="000A6CF6" w:rsidRPr="00302438" w:rsidRDefault="000A6CF6" w:rsidP="00AF3B45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36F58E11" w14:textId="77777777" w:rsidR="000A6CF6" w:rsidRPr="00302438" w:rsidRDefault="000A6CF6" w:rsidP="000A6CF6">
      <w:pPr>
        <w:pStyle w:val="Heading2"/>
        <w:rPr>
          <w:rFonts w:asciiTheme="minorHAnsi" w:hAnsiTheme="minorHAnsi"/>
          <w:b/>
          <w:kern w:val="36"/>
          <w:sz w:val="24"/>
          <w:szCs w:val="24"/>
          <w:lang w:val="ru-RU"/>
        </w:rPr>
      </w:pPr>
    </w:p>
    <w:p w14:paraId="0D4F35B2" w14:textId="77777777" w:rsidR="0023472C" w:rsidRPr="00302438" w:rsidRDefault="0023472C"/>
    <w:sectPr w:rsidR="0023472C" w:rsidRPr="00302438" w:rsidSect="000A6C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8B802" w16cex:dateUtc="2021-03-14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57E29E" w16cid:durableId="23F8B80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89"/>
    <w:rsid w:val="000A6CF6"/>
    <w:rsid w:val="0023472C"/>
    <w:rsid w:val="00302438"/>
    <w:rsid w:val="004E50C7"/>
    <w:rsid w:val="00537A86"/>
    <w:rsid w:val="0055151F"/>
    <w:rsid w:val="005C05DE"/>
    <w:rsid w:val="00647E79"/>
    <w:rsid w:val="00A204CE"/>
    <w:rsid w:val="00CB4B89"/>
    <w:rsid w:val="00D92886"/>
    <w:rsid w:val="00DD583C"/>
    <w:rsid w:val="00F5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FB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F6"/>
    <w:pPr>
      <w:spacing w:after="200"/>
    </w:pPr>
    <w:rPr>
      <w:rFonts w:asciiTheme="minorHAnsi" w:hAnsiTheme="minorHAnsi"/>
      <w:sz w:val="22"/>
      <w:lang w:val="ru-RU"/>
    </w:rPr>
  </w:style>
  <w:style w:type="paragraph" w:styleId="Heading2">
    <w:name w:val="heading 2"/>
    <w:aliases w:val="Paranum"/>
    <w:basedOn w:val="Normal"/>
    <w:next w:val="Heading3"/>
    <w:link w:val="Heading2Char"/>
    <w:unhideWhenUsed/>
    <w:qFormat/>
    <w:rsid w:val="000A6CF6"/>
    <w:pPr>
      <w:keepNext/>
      <w:overflowPunct w:val="0"/>
      <w:autoSpaceDE w:val="0"/>
      <w:autoSpaceDN w:val="0"/>
      <w:adjustRightInd w:val="0"/>
      <w:spacing w:after="22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C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0A6CF6"/>
    <w:rPr>
      <w:rFonts w:ascii="Times New Roman" w:eastAsia="Times New Roman" w:hAnsi="Times New Roman" w:cs="Times New Roman"/>
      <w:sz w:val="28"/>
      <w:szCs w:val="20"/>
      <w:lang w:val="en-GB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0A6CF6"/>
    <w:rPr>
      <w:vertAlign w:val="superscript"/>
    </w:rPr>
  </w:style>
  <w:style w:type="paragraph" w:customStyle="1" w:styleId="Text">
    <w:name w:val="Text"/>
    <w:basedOn w:val="Normal"/>
    <w:qFormat/>
    <w:rsid w:val="000A6CF6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Graphic">
    <w:name w:val="Graphic"/>
    <w:basedOn w:val="Text"/>
    <w:rsid w:val="000A6CF6"/>
    <w:pPr>
      <w:keepNext/>
      <w:spacing w:after="130"/>
      <w:jc w:val="center"/>
    </w:pPr>
  </w:style>
  <w:style w:type="paragraph" w:styleId="NormalWeb">
    <w:name w:val="Normal (Web)"/>
    <w:aliases w:val="webb, webb,Обычный (веб) Знак Знак,Обычный (веб) Знак Знак Знак,Знак Знак Знак1 Знак Знак Знак Знак Знак,Знак1"/>
    <w:basedOn w:val="Normal"/>
    <w:link w:val="NormalWebChar"/>
    <w:uiPriority w:val="99"/>
    <w:qFormat/>
    <w:rsid w:val="000A6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1"/>
    <w:rsid w:val="000A6C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0A6CF6"/>
    <w:rPr>
      <w:rFonts w:asciiTheme="minorHAnsi" w:hAnsiTheme="minorHAnsi"/>
      <w:sz w:val="20"/>
      <w:szCs w:val="20"/>
      <w:lang w:val="ru-RU"/>
    </w:rPr>
  </w:style>
  <w:style w:type="character" w:customStyle="1" w:styleId="CommentTextChar1">
    <w:name w:val="Comment Text Char1"/>
    <w:basedOn w:val="DefaultParagraphFont"/>
    <w:link w:val="CommentText"/>
    <w:rsid w:val="000A6CF6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CommentReference">
    <w:name w:val="annotation reference"/>
    <w:rsid w:val="000A6CF6"/>
    <w:rPr>
      <w:sz w:val="16"/>
      <w:szCs w:val="16"/>
    </w:rPr>
  </w:style>
  <w:style w:type="character" w:customStyle="1" w:styleId="NormalWebChar">
    <w:name w:val="Normal (Web) Char"/>
    <w:aliases w:val="webb Char, webb Char,Обычный (веб) Знак Знак Char,Обычный (веб) Знак Знак Знак Char,Знак Знак Знак1 Знак Знак Знак Знак Знак Char,Знак1 Char"/>
    <w:link w:val="NormalWeb"/>
    <w:uiPriority w:val="99"/>
    <w:locked/>
    <w:rsid w:val="000A6CF6"/>
    <w:rPr>
      <w:rFonts w:ascii="Times New Roman" w:eastAsia="Times New Roman" w:hAnsi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CF6"/>
    <w:rPr>
      <w:rFonts w:asciiTheme="majorHAnsi" w:eastAsiaTheme="majorEastAsia" w:hAnsiTheme="majorHAnsi" w:cstheme="majorBidi"/>
      <w:color w:val="1F3763" w:themeColor="accent1" w:themeShade="7F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7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F6"/>
    <w:pPr>
      <w:spacing w:after="200"/>
    </w:pPr>
    <w:rPr>
      <w:rFonts w:asciiTheme="minorHAnsi" w:hAnsiTheme="minorHAnsi"/>
      <w:sz w:val="22"/>
      <w:lang w:val="ru-RU"/>
    </w:rPr>
  </w:style>
  <w:style w:type="paragraph" w:styleId="Heading2">
    <w:name w:val="heading 2"/>
    <w:aliases w:val="Paranum"/>
    <w:basedOn w:val="Normal"/>
    <w:next w:val="Heading3"/>
    <w:link w:val="Heading2Char"/>
    <w:unhideWhenUsed/>
    <w:qFormat/>
    <w:rsid w:val="000A6CF6"/>
    <w:pPr>
      <w:keepNext/>
      <w:overflowPunct w:val="0"/>
      <w:autoSpaceDE w:val="0"/>
      <w:autoSpaceDN w:val="0"/>
      <w:adjustRightInd w:val="0"/>
      <w:spacing w:after="22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C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0A6CF6"/>
    <w:rPr>
      <w:rFonts w:ascii="Times New Roman" w:eastAsia="Times New Roman" w:hAnsi="Times New Roman" w:cs="Times New Roman"/>
      <w:sz w:val="28"/>
      <w:szCs w:val="20"/>
      <w:lang w:val="en-GB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0A6CF6"/>
    <w:rPr>
      <w:vertAlign w:val="superscript"/>
    </w:rPr>
  </w:style>
  <w:style w:type="paragraph" w:customStyle="1" w:styleId="Text">
    <w:name w:val="Text"/>
    <w:basedOn w:val="Normal"/>
    <w:qFormat/>
    <w:rsid w:val="000A6CF6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Graphic">
    <w:name w:val="Graphic"/>
    <w:basedOn w:val="Text"/>
    <w:rsid w:val="000A6CF6"/>
    <w:pPr>
      <w:keepNext/>
      <w:spacing w:after="130"/>
      <w:jc w:val="center"/>
    </w:pPr>
  </w:style>
  <w:style w:type="paragraph" w:styleId="NormalWeb">
    <w:name w:val="Normal (Web)"/>
    <w:aliases w:val="webb, webb,Обычный (веб) Знак Знак,Обычный (веб) Знак Знак Знак,Знак Знак Знак1 Знак Знак Знак Знак Знак,Знак1"/>
    <w:basedOn w:val="Normal"/>
    <w:link w:val="NormalWebChar"/>
    <w:uiPriority w:val="99"/>
    <w:qFormat/>
    <w:rsid w:val="000A6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1"/>
    <w:rsid w:val="000A6C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0A6CF6"/>
    <w:rPr>
      <w:rFonts w:asciiTheme="minorHAnsi" w:hAnsiTheme="minorHAnsi"/>
      <w:sz w:val="20"/>
      <w:szCs w:val="20"/>
      <w:lang w:val="ru-RU"/>
    </w:rPr>
  </w:style>
  <w:style w:type="character" w:customStyle="1" w:styleId="CommentTextChar1">
    <w:name w:val="Comment Text Char1"/>
    <w:basedOn w:val="DefaultParagraphFont"/>
    <w:link w:val="CommentText"/>
    <w:rsid w:val="000A6CF6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CommentReference">
    <w:name w:val="annotation reference"/>
    <w:rsid w:val="000A6CF6"/>
    <w:rPr>
      <w:sz w:val="16"/>
      <w:szCs w:val="16"/>
    </w:rPr>
  </w:style>
  <w:style w:type="character" w:customStyle="1" w:styleId="NormalWebChar">
    <w:name w:val="Normal (Web) Char"/>
    <w:aliases w:val="webb Char, webb Char,Обычный (веб) Знак Знак Char,Обычный (веб) Знак Знак Знак Char,Знак Знак Знак1 Знак Знак Знак Знак Знак Char,Знак1 Char"/>
    <w:link w:val="NormalWeb"/>
    <w:uiPriority w:val="99"/>
    <w:locked/>
    <w:rsid w:val="000A6CF6"/>
    <w:rPr>
      <w:rFonts w:ascii="Times New Roman" w:eastAsia="Times New Roman" w:hAnsi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CF6"/>
    <w:rPr>
      <w:rFonts w:asciiTheme="majorHAnsi" w:eastAsiaTheme="majorEastAsia" w:hAnsiTheme="majorHAnsi" w:cstheme="majorBidi"/>
      <w:color w:val="1F3763" w:themeColor="accent1" w:themeShade="7F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7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Minasyan</dc:creator>
  <cp:keywords/>
  <dc:description/>
  <cp:lastModifiedBy>User</cp:lastModifiedBy>
  <cp:revision>11</cp:revision>
  <dcterms:created xsi:type="dcterms:W3CDTF">2021-03-14T12:55:00Z</dcterms:created>
  <dcterms:modified xsi:type="dcterms:W3CDTF">2021-03-15T07:16:00Z</dcterms:modified>
</cp:coreProperties>
</file>