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9D" w:rsidRPr="00463EA1" w:rsidRDefault="00463EA1" w:rsidP="00463EA1">
      <w:pPr>
        <w:shd w:val="clear" w:color="auto" w:fill="FFFFFF"/>
        <w:spacing w:after="390" w:line="390" w:lineRule="atLeast"/>
        <w:jc w:val="center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  <w:t>ՀԱՅՏԱՐԱՐՈՒԹՅՈՒՆ ԱՋԱԿՑՈՂ ՄԻՋՈՑՆԵՐ ՏՐԱՄԱԴՐՈՂ ԿԱԶՄԱԿԵՐՊՈՒԹՅՈՒՆՆԵՐԻ ՈՐԱԿԱՎՈՐՄԱՆ ԻՐԱԿԱՆԱՑՄԱՆ ՎԵՐԱԲԵՐՅԱԼ</w:t>
      </w:r>
    </w:p>
    <w:p w:rsidR="0085329D" w:rsidRPr="00463EA1" w:rsidRDefault="00463EA1" w:rsidP="00463EA1">
      <w:pPr>
        <w:shd w:val="clear" w:color="auto" w:fill="FFFFFF"/>
        <w:spacing w:after="0" w:line="390" w:lineRule="atLeast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 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Տեղեկացնում ենք, որ Աշխատանքի և սոցիալական հարցերի նախարարությունում իրականացվում է աջակցող միջոցներ տրամադրող իրավաբանական անձանց և անհատ ձեռնարկատերերի որակավորման գործընթացը: Որակավորման գործընթացն իրականացվում է համաձայն ՀՀ կառավարության 2015 թվականի սեպտեմբերի 10-ի N 1035-Ն որոշման</w:t>
      </w:r>
      <w:r w:rsidR="0085329D" w:rsidRPr="00463EA1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և</w:t>
      </w:r>
      <w:r w:rsidR="0085329D" w:rsidRPr="00463EA1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ՀՀ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աշխատանքի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և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սոցիալական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հարցերի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նախարարի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2021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թվականի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սեպտեմբերի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23-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N 152-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Ա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/1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հրամանի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:</w:t>
      </w:r>
    </w:p>
    <w:p w:rsidR="0085329D" w:rsidRPr="00463EA1" w:rsidRDefault="00463EA1" w:rsidP="00463EA1">
      <w:pPr>
        <w:shd w:val="clear" w:color="auto" w:fill="FFFFFF"/>
        <w:spacing w:after="0" w:line="390" w:lineRule="atLeast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Որակավորման գործընթացն իրականացվում է նախարարությունում գործող որակավորման հանձնաժողովի կողմից, որը բացում, գնահատում և որակավորման չափանիշները հավաստող փաստաթղթերի հիման վրա տալիս է եզրակացություն Կազմակերպության որակավորված լինելու կամ որակավորում չանցնելու վերաբերյալ: Որակավորման գործընթացին մասնակցելու դիմում-հայտ ներկայացրած Կազմակերպությունները (նրանց ներկայացուցիչները) կարող են ներկա գտնվել դիմում-հայտերի բացման և գնահատման նիստերին, ծանոթանալ նիստերի արձանագրություններին: Կազմակերպությունը կարող է ցանկացած ժամանակ դիմել և որակավորվելու դեպքում ներառվել որակավորված Կազմակերպությունների ցանկում: Ցանկում ներառված (որակավորված) Կազմակերպութjունը ցանկացած ժամանակ կարող է դուրս գալ ցանկից` իր գրավոր դիմումի համաձայն։</w:t>
      </w:r>
    </w:p>
    <w:p w:rsidR="0085329D" w:rsidRPr="00463EA1" w:rsidRDefault="0085329D" w:rsidP="00463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 w:rsidRPr="00463EA1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</w:rPr>
        <w:t>ԿԱԶՄԱԿԵՐՊՈՒԹՅՈՒՆՆԵՐԻՆ ՆԵՐԿԱՅԱՑՎՈՂ ՊԱՀԱՆՋՆԵՐԸ</w:t>
      </w:r>
    </w:p>
    <w:p w:rsidR="0085329D" w:rsidRPr="00463EA1" w:rsidRDefault="0034697A" w:rsidP="00463EA1">
      <w:pPr>
        <w:shd w:val="clear" w:color="auto" w:fill="FFFFFF"/>
        <w:spacing w:after="390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տրամադրելու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նպատակով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իրականացվող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որակավորման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գործընթացին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մասնակցելու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համար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կարող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դիմել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այն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բավարարում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հետևյալ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պահանջներին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՝</w:t>
      </w:r>
    </w:p>
    <w:p w:rsidR="0085329D" w:rsidRPr="00463EA1" w:rsidRDefault="0085329D" w:rsidP="00463EA1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GHEA Grapalat" w:hAnsi="GHEA Grapalat"/>
          <w:lang w:val="hy-AM" w:eastAsia="en-US"/>
        </w:rPr>
      </w:pPr>
      <w:r w:rsidRPr="00463EA1">
        <w:rPr>
          <w:rFonts w:ascii="GHEA Grapalat" w:hAnsi="GHEA Grapalat"/>
          <w:lang w:val="hy-AM" w:eastAsia="en-US"/>
        </w:rPr>
        <w:t>Երևանում գործելու դեպքում` ունի սպասարկման կետ կամ ներկայացուցչություն Երևան քաղաքին ոչ սահմանակից առնվազն մեկ մարզում,</w:t>
      </w:r>
    </w:p>
    <w:p w:rsidR="0085329D" w:rsidRPr="00463EA1" w:rsidRDefault="0085329D" w:rsidP="00463EA1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GHEA Grapalat" w:hAnsi="GHEA Grapalat"/>
          <w:lang w:val="hy-AM" w:eastAsia="en-US"/>
        </w:rPr>
      </w:pPr>
      <w:r w:rsidRPr="00463EA1">
        <w:rPr>
          <w:rFonts w:ascii="GHEA Grapalat" w:hAnsi="GHEA Grapalat"/>
          <w:lang w:val="hy-AM" w:eastAsia="en-US"/>
        </w:rPr>
        <w:t xml:space="preserve"> </w:t>
      </w:r>
      <w:r w:rsidRPr="00463EA1">
        <w:rPr>
          <w:rFonts w:ascii="GHEA Grapalat" w:hAnsi="GHEA Grapalat"/>
          <w:lang w:val="hy-AM" w:eastAsia="en-US"/>
        </w:rPr>
        <w:tab/>
        <w:t>ունի անհրաժեշտ ֆինանսական միջոցներ` պայմանագրով ստանձնած պարտավորությունները առանց կանխավճարի կատարելու համար,</w:t>
      </w:r>
    </w:p>
    <w:p w:rsidR="0085329D" w:rsidRPr="00463EA1" w:rsidRDefault="00463EA1" w:rsidP="00463EA1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GHEA Grapalat" w:hAnsi="GHEA Grapalat"/>
          <w:lang w:val="hy-AM" w:eastAsia="en-US"/>
        </w:rPr>
      </w:pPr>
      <w:r>
        <w:rPr>
          <w:rFonts w:ascii="GHEA Grapalat" w:hAnsi="GHEA Grapalat"/>
          <w:lang w:val="hy-AM" w:eastAsia="en-US"/>
        </w:rPr>
        <w:t xml:space="preserve">  </w:t>
      </w:r>
      <w:r w:rsidR="0085329D" w:rsidRPr="00463EA1">
        <w:rPr>
          <w:rFonts w:ascii="GHEA Grapalat" w:hAnsi="GHEA Grapalat"/>
          <w:lang w:val="hy-AM" w:eastAsia="en-US"/>
        </w:rPr>
        <w:t xml:space="preserve">ունի աշխատանքային ռեսուրսներ` շահառուներին սպասարկելու և ծառայություն ստացած անձանց վերաբերյալ տվյալները «Պրոթեզաօրթոպեդիկ և վերականգնողական պարագաների տրամադրման» տեղեկատվական համակարգ մուտքագրելու համար համապատասխան մասնագետ, վերին և ստորին վերջույթների պրոթեզների (այդ թվում` օրթոպրոթեզներ) և օրթեզների  պատրաստման և վերին և ստորին վերջույթների պրոթեզների (այդ թվում` օրթոպրոթեզներ) ու ստորին վերջույթի հոդով օրթեզների </w:t>
      </w:r>
      <w:r w:rsidR="0085329D" w:rsidRPr="00463EA1">
        <w:rPr>
          <w:rFonts w:ascii="GHEA Grapalat" w:hAnsi="GHEA Grapalat"/>
          <w:lang w:val="hy-AM" w:eastAsia="en-US"/>
        </w:rPr>
        <w:lastRenderedPageBreak/>
        <w:t>վերանորոգման համար առնվազն մեկ տարվա մասնագիտական փորձառություն ունեցող կամ մասնագիտական վերապատրաստում անցած մասնագետների, լսողական սարք տրամադրող Կազմակերպությունները` նաև համապատասխան մասնագետ` շահառուի կարիքին համարժեք լսողական սարք տրամադրելու և տեղադրելու համար, իսկ այլ աջակցող միջոցներ տրամադրող կազմակերպությունները` շահառուի կարիքներին համապատասխան աջակցող միջոց տրամադրող խորհրդատու-աշխատակից,</w:t>
      </w:r>
    </w:p>
    <w:p w:rsidR="0085329D" w:rsidRPr="00463EA1" w:rsidRDefault="0085329D" w:rsidP="00463EA1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GHEA Grapalat" w:hAnsi="GHEA Grapalat"/>
          <w:lang w:val="hy-AM" w:eastAsia="en-US"/>
        </w:rPr>
      </w:pPr>
      <w:r w:rsidRPr="00463EA1">
        <w:rPr>
          <w:rFonts w:ascii="GHEA Grapalat" w:hAnsi="GHEA Grapalat"/>
          <w:lang w:val="hy-AM" w:eastAsia="en-US"/>
        </w:rPr>
        <w:t xml:space="preserve"> </w:t>
      </w:r>
      <w:r w:rsidRPr="00463EA1">
        <w:rPr>
          <w:rFonts w:ascii="GHEA Grapalat" w:hAnsi="GHEA Grapalat"/>
          <w:lang w:val="hy-AM" w:eastAsia="en-US"/>
        </w:rPr>
        <w:tab/>
        <w:t>ունի պայմանագրով ստանձնած պարտավորությունները կատարելու համար անհրաժեշտ տեխնիկական միջոցներ (համակարգչային տեխնիկա) և մատչելի շենքային պայմաններ տեղաշարժման դժվարություն ունեցող անձանց սպասարկումն իրականացնելու համար, ներառյալ անարգել մուտք կազմակերպության շենք և սպասարկման սրահ` մուտքի զրոյական մակարդակ կամ Հայաստանի Հանրապետության քաղաքաշինական նորմերին համապատասխան կառուցված թեքահարթակ, իսկ դրանց անհնարինության դեպքում համապատասխան անվտանգ տեխնիկական սարքավորումներ` վերելակ, բարձրացնող մեխանիզմներ և սպասարկման սրահում տեղաշարժվելու համար խոչընդոտների բացակայություն,</w:t>
      </w:r>
    </w:p>
    <w:p w:rsidR="0085329D" w:rsidRPr="00463EA1" w:rsidRDefault="0085329D" w:rsidP="00463EA1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jc w:val="both"/>
        <w:rPr>
          <w:rFonts w:ascii="GHEA Grapalat" w:hAnsi="GHEA Grapalat"/>
          <w:lang w:val="hy-AM" w:eastAsia="en-US"/>
        </w:rPr>
      </w:pPr>
      <w:r w:rsidRPr="00463EA1">
        <w:rPr>
          <w:rFonts w:ascii="GHEA Grapalat" w:hAnsi="GHEA Grapalat"/>
          <w:lang w:val="hy-AM" w:eastAsia="en-US"/>
        </w:rPr>
        <w:t xml:space="preserve"> </w:t>
      </w:r>
      <w:r w:rsidRPr="00463EA1">
        <w:rPr>
          <w:rFonts w:ascii="GHEA Grapalat" w:hAnsi="GHEA Grapalat"/>
          <w:lang w:val="hy-AM" w:eastAsia="en-US"/>
        </w:rPr>
        <w:tab/>
        <w:t>Կազմակերպության կողմից ներկրվող աջակցող միջոցները և (կամ) դրանց բաղկացուցիչ մասերը (պատրաստման նյութեր և դետալներ) պետք է համապատասխանեն միջազգային կամ միջպետական կամ եվրոպական ստանդարտներին և ունենան այդ ստանդարտների համապատասխանության հավաստագիր կամ հայտարարագիր:</w:t>
      </w:r>
    </w:p>
    <w:p w:rsidR="0085329D" w:rsidRPr="00463EA1" w:rsidRDefault="0085329D" w:rsidP="00463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 w:rsidRPr="00463EA1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</w:rPr>
        <w:t>ԱՆՀՐԱԺԵՇՏ ՓԱՍՏԱԹՂԹԵՐԸ</w:t>
      </w:r>
    </w:p>
    <w:p w:rsidR="0085329D" w:rsidRPr="00463EA1" w:rsidRDefault="00463EA1" w:rsidP="00463EA1">
      <w:pPr>
        <w:shd w:val="clear" w:color="auto" w:fill="FFFFFF"/>
        <w:spacing w:after="390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տրամադրելու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համար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Նախարարություն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ներկայացնում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որակավորում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անցնելու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կամահայտնության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վերաբերյալ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Նախարարություն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հասցեագրած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գրությունը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և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հետևյալ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փաստաթղթերը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`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դիմում-հայտ` համաձայն Ձև 1-ի,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ind w:left="630" w:hanging="27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տեղեկանք-հայտարարագիր աջակցող միջոցների տրամադրման համար համապատասխան մասնագետ-խորհրդատուի, լսողական սարքերի դեպքում` լսողական սարքերի տեղադրման և հարմարեցման համար համապատասխան փորձառություն ունեցող մասնագետի, իսկ վերին և ստորին վերջույթի պրոթեզների (այդ թվում` օրթոպրոթեզներ) և օրթեզների պատրաստման և վերանորոգման համար առնվազն մեկ տարվա մասնագիտական փորձառություն ունեցող կամ մասնագիտական վերապատրաստում անցած մասնագետների առկայություն,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տեղեկանք-հայտարարագիր տեղաշարժման դժվարություններ ունեցող անձանց սպասարկումն իրականացնելու համար  մատչելի շենքային պայմաններ ունենալու վերաբերյալ, ներառյալ անարգել մուտք կազմակերպության շենք և սպասարկման սրահ`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մուտքի զրոյական մակարդակ կամ Հայաստանի Հանրապետության քաղաքաշինական նորմերին համապատասխան թեքահարթակ, իսկ դրանց անհնարինության դեպքում համապատասխան անվտանգ տեխնիկական սարքավորումներ` վերելակ, բարձրացնող մեխանիզմներ և սպասարկման սրահում տեղաշարժվելու համար խոչընդոտների բացակայություն,    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տեղեկանք-հայտարարագիր այն մասին, որ կազմակերպությունն ունի անհրաժեշտ ֆինանսական միջոցներ ստանձնած պարտավորություններն առանց կանխավճարի կատարելու համար, ինչպես նաև անհրաժեշտ տեխնիկական միջոցներ (համակարգչային տեխնիկա),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տեղեկատվություն նախարարության գլխավոր քարտուղարի կողմից հաստատված նվազագույն պահանջներին համապատասխանող աջակցող միջոցների վերաբերյալ (դրանց անվանումները, ապրանքանիշը, մոդելը, տեխնիկական նկարագրությունները, լուսանկարները, գները, ներկրվող աջակցող միջոցների և (կամ)  դրանց բաղկացուցիչ մասերի (պատրաստման նյութեր և դետալներ) համար միջազգային կամ միջպետական կամ եվրոպական ստանդարտների համապատասխանության հավաստագրի կամ հայտարարագրի պատճենը և այլ տեղեկատվություն)` համաձայն Ձև 2-ի,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վերին և ստորին վերջույթի պրոթեզների (այդ թվում` օրթոպրոթեզներ) և օրթեզների պատրաստման դեպքում նաև համապատասխան մասնագետներ ունենալու վերաբերյալ փաստը հավաստող փաստաթուղթ,</w:t>
      </w:r>
    </w:p>
    <w:p w:rsidR="0085329D" w:rsidRPr="00463EA1" w:rsidRDefault="0085329D" w:rsidP="00463EA1">
      <w:pPr>
        <w:numPr>
          <w:ilvl w:val="0"/>
          <w:numId w:val="6"/>
        </w:numPr>
        <w:tabs>
          <w:tab w:val="left" w:pos="630"/>
          <w:tab w:val="left" w:pos="1170"/>
        </w:tabs>
        <w:spacing w:after="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463EA1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>այլ տեղեկատվություն:</w:t>
      </w:r>
    </w:p>
    <w:p w:rsidR="0085329D" w:rsidRPr="00463EA1" w:rsidRDefault="0085329D" w:rsidP="00463EA1">
      <w:pPr>
        <w:shd w:val="clear" w:color="auto" w:fill="FFFFFF"/>
        <w:spacing w:after="390"/>
        <w:jc w:val="both"/>
        <w:rPr>
          <w:rFonts w:ascii="GHEA Grapalat" w:eastAsia="Times New Roman" w:hAnsi="GHEA Grapalat" w:cs="Times New Roman"/>
          <w:b/>
          <w:color w:val="222222"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  <w:lang w:val="hy-AM"/>
        </w:rPr>
        <w:t>Վերոհիշյալ փաստաթղթերը պետք է վավերացված լինեն Կազմակերպության գործադիր մարմնի ղեկավարի կամ այլ իրավասու ներկայացուցչի ստորագրությամբ և կնիքով (կնիքի առկայության դեպքում)</w:t>
      </w:r>
      <w:r w:rsidR="00463EA1" w:rsidRPr="00463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63EA1" w:rsidRPr="00463EA1">
        <w:rPr>
          <w:rFonts w:ascii="GHEA Grapalat" w:hAnsi="GHEA Grapalat"/>
          <w:b/>
          <w:sz w:val="24"/>
          <w:szCs w:val="24"/>
          <w:lang w:val="hy-AM"/>
        </w:rPr>
        <w:t>կամ էլեկտրոնային ստորագրությամբ</w:t>
      </w:r>
      <w:r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  <w:lang w:val="hy-AM"/>
        </w:rPr>
        <w:t>:</w:t>
      </w:r>
    </w:p>
    <w:p w:rsidR="0085329D" w:rsidRPr="00463EA1" w:rsidRDefault="0034697A" w:rsidP="0034697A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Կազմակերպությունը որակավորում անցնելու կամահայտնության վերաբերյալ գրությունը և վերը նշված փաստաթղթերը Նախարարություն է ներկայացնում առձեռն կամ պատվիրված նամակ ուղարկելու միջոցով (փոստային կապի միջոցով), կամ առցանց (էլեկտրոնային) եղանակով` e-request.am էլեկտրոնային կայքէջի միջոցով:</w:t>
      </w:r>
    </w:p>
    <w:p w:rsidR="0085329D" w:rsidRPr="00463EA1" w:rsidRDefault="0034697A" w:rsidP="0034697A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Կազմակերպության կողմից սահմանված պահանջներին չհամապատասխանող, ոչ հավաստի կամ թերի փաստաթղթեր կամ տեղեկատվություն ներկայացվելու դեպքում Նախարարությունը հինգ աշխատանքային օրվա ընթացքում այդ մասին գրավոր տեղեկացնում է Կազմակերպությանը, որը հինգ աշխատանքային օրվա ընթացքում Նախարարություն է ներկայացնում շտկված փաստաթղթերը: Հինգ աշխատանքային օրվա ընթացքում շտկված փաստաթղթերը Նախարարություն չներկայացնելու դեպքում, Կազմակերպությունը Պայմանագիր կնքելու համար կրկին կարող է դիմել երկու ամիս հետո:</w:t>
      </w:r>
    </w:p>
    <w:p w:rsidR="0085329D" w:rsidRPr="00463EA1" w:rsidRDefault="0085329D" w:rsidP="00463EA1">
      <w:p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 w:rsidRPr="00463EA1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  <w:lang w:val="hy-AM"/>
        </w:rPr>
        <w:lastRenderedPageBreak/>
        <w:t>ԱՋԱԿՑՈՂ ՄԻՋՈՑՆԵՐԻ ՏԵՍԱԿՆԵՐԸ ԳԻՆԸ</w:t>
      </w:r>
    </w:p>
    <w:p w:rsidR="0085329D" w:rsidRPr="00463EA1" w:rsidRDefault="00463EA1" w:rsidP="0085329D">
      <w:pPr>
        <w:shd w:val="clear" w:color="auto" w:fill="FFFFFF"/>
        <w:spacing w:after="390" w:line="390" w:lineRule="atLeast"/>
        <w:jc w:val="both"/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Կազմակերպությունը կարող է հայտ ներկայացնել մեկ կամ մի քանի տեսակ աջակցող </w:t>
      </w:r>
      <w:r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միջոցներ տրամադրելու համար: 2022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թ. նախատեսված է տրամադրել 96 տեսակ աջակցող միջոց հետևյալ միավորի արժեքներով.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51"/>
        <w:gridCol w:w="5629"/>
        <w:gridCol w:w="1391"/>
        <w:gridCol w:w="2474"/>
      </w:tblGrid>
      <w:tr w:rsidR="0085329D" w:rsidRPr="00463EA1" w:rsidTr="00463EA1">
        <w:tc>
          <w:tcPr>
            <w:tcW w:w="85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Հ/Հ</w:t>
            </w: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ԱՋԱԿՑՈՂ ՄԻՋՈՑԻ ԱՆՎԱՆՈՒՄԸ</w:t>
            </w:r>
            <w:bookmarkStart w:id="0" w:name="_GoBack"/>
            <w:bookmarkEnd w:id="0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ՉԱՓԻ ՄԻԱՎՈՐ</w:t>
            </w:r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ՄԻԱՎՈՐԻ ԳԻՆԸ</w:t>
            </w:r>
            <w:r w:rsidRPr="00463EA1">
              <w:rPr>
                <w:rFonts w:ascii="Courier New" w:eastAsia="Times New Roman" w:hAnsi="Courier New" w:cs="Courier New"/>
                <w:b/>
                <w:bCs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(</w:t>
            </w:r>
            <w:r w:rsidRPr="00463EA1">
              <w:rPr>
                <w:rFonts w:ascii="GHEA Grapalat" w:eastAsia="Times New Roman" w:hAnsi="GHEA Grapalat" w:cs="GHEA Grapalat"/>
                <w:b/>
                <w:bCs/>
                <w:color w:val="222222"/>
                <w:sz w:val="24"/>
                <w:szCs w:val="24"/>
              </w:rPr>
              <w:t>ՀՀ</w:t>
            </w: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463EA1">
              <w:rPr>
                <w:rFonts w:ascii="GHEA Grapalat" w:eastAsia="Times New Roman" w:hAnsi="GHEA Grapalat" w:cs="GHEA Grapalat"/>
                <w:b/>
                <w:bCs/>
                <w:color w:val="222222"/>
                <w:sz w:val="24"/>
                <w:szCs w:val="24"/>
              </w:rPr>
              <w:t>ԴՐԱՄ</w:t>
            </w:r>
            <w:r w:rsidRPr="00463EA1">
              <w:rPr>
                <w:rFonts w:ascii="GHEA Grapalat" w:eastAsia="Times New Roman" w:hAnsi="GHEA Grapalat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Դաստակի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կոսմետիկ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242000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Նախաբազկի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ձգողական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ձգողական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960000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Նախաբազկի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կոսմետիկ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458000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կոսմետիկ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778000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միոպրոթե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2545000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Նախաբազկի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միոպրոթե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1975000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Ուսի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էկզարտիկ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558000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՝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ըստ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Լիս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Ֆրանկի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՝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ըստ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Շոպարի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245000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558000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ոչ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385000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սիլիկոնե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լայներո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1165000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էկզոսկելիտար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300000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ընդունիչո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409000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էկզոսկելիտար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մանժետո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535000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ըստ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Պիրոգովի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և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Սայմի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290000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Ծնկահոդի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էկզարտիկ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1160000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կաշվից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ընդունիչով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565000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շինայո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598000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565000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1010000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լրացուցիչ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ISNI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ներդիրով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1045000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էնդոսկելիտար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մոդուլյար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սիլիկոնե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լայներո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1795000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Կոնք-ազդրի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էկզարտիկ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1275000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էկզոսկելիտար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նստատեղի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հենարանով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399000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բուժամարզական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639000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բուժամարզական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310000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Ակնագնդի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աչքի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)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70000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Կրծքագեղձի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էկզոպրոթեզներ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կոշիկ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13500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Ճաճանչ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դաստակային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Արմնկային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Արմնկային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AFO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AF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116000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Ծնկան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KO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Ամբողջ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ոտքի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70000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AFO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110000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AFO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Ծնկան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KO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160000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Ծնկան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KO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187000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Ամբողջ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ոտքի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կաշվի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289000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Ամբողջ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ոտքի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Ամբողջ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ոտքի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324000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կաշվից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236000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Սրունքի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250000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կաշվից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325000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300000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օրթոպրոթեզ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լամինացիայով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Պարանոցի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(CO)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Պարանոցա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կրծքային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CTO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Պարանոցա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կրծքա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գոտկային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CTLO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150000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Գլխի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(helmet)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Ծուռ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թաթի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ծալված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Այովա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բրես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պատելայից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ծանրություն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կրող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PTB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Գիշերային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կորսետ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երփեղկանի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գերշտկումով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Կրծքա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գոտկա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սրբանային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TLSO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140000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Գոտկա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սրբանային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LSO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Կոնք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-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ազդրային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առանց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հոդի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պլաստիկից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Կրկնակի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կաղապարով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TLSO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170000</w:t>
            </w:r>
          </w:p>
        </w:tc>
      </w:tr>
      <w:tr w:rsidR="0085329D" w:rsidRPr="00463EA1" w:rsidTr="0034697A">
        <w:trPr>
          <w:trHeight w:val="1052"/>
        </w:trPr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Ոտնաթաթի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կամարները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կրունկի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դիրքը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և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վալգուսային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դեֆորմացիայի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շտկող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UCBL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)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14000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Օրթեզի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կոշիկներ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18500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փափուկ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Սեղմիրան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կիսակոշտ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Ռեկլինատոր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Աճուկային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աղեկապ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Որովայնի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աղեկապ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13000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Օրթպեդիկ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կոշիկներ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18500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  <w:lang w:val="hy-AM"/>
              </w:rPr>
            </w:pPr>
          </w:p>
        </w:tc>
        <w:tc>
          <w:tcPr>
            <w:tcW w:w="5629" w:type="dxa"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hy-AM"/>
              </w:rPr>
              <w:t>Անհատական պատրաստվող օ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րթպեդիկ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կոշիկներ</w:t>
            </w:r>
            <w:proofErr w:type="spellEnd"/>
          </w:p>
        </w:tc>
        <w:tc>
          <w:tcPr>
            <w:tcW w:w="1391" w:type="dxa"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2474" w:type="dxa"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hy-AM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hy-AM"/>
              </w:rPr>
              <w:t>30000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Թևատակի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հենակ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6500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Արմնկային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հենակ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Ձեռնափայտ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սովորակա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«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Սպիտակ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ձեռնափայտ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տեսողության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խնդիրներ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ունեցող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անձանց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Քայլակ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Քայլակ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մանկական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ուղեղային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կաթվածով</w:t>
            </w:r>
            <w:proofErr w:type="spellEnd"/>
            <w:r w:rsidRPr="00463EA1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անձանց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GHEA Grapalat"/>
                <w:color w:val="222222"/>
                <w:sz w:val="24"/>
                <w:szCs w:val="24"/>
              </w:rPr>
              <w:t>համար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/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Ծնկակալեր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Բրդյա-բամբակյա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գուլպաներ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2700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Սիլիկոնե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գուլպաներ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Փոքր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տրամաչափի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սայլակներ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46000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Լսողական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սարքերի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անհատական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ներդիրներ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Ձայնաստեղծ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345000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Ձայնաստեղծ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պրոթեզ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345000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Անվասայլակ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սովորական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95000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Անվասայլակ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/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մանկական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ուղեղային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կաթված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գերգիրություն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և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արտահայտված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սկոլիոզ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ունեցող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անձանց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համար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  <w:t>/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120000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ru-RU"/>
              </w:rPr>
              <w:t xml:space="preserve">Մինչև 64 </w:t>
            </w: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(</w:t>
            </w: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ru-RU"/>
              </w:rPr>
              <w:t>ներառյալ</w:t>
            </w: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)</w:t>
            </w: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ru-RU"/>
              </w:rPr>
              <w:t xml:space="preserve"> տարեկան անձանց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315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80000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spacing w:after="315"/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390" w:line="390" w:lineRule="atLeast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ru-RU"/>
              </w:rPr>
            </w:pPr>
            <w:r w:rsidRPr="00463EA1">
              <w:rPr>
                <w:rFonts w:ascii="GHEA Grapalat" w:hAnsi="GHEA Grapalat" w:cs="Calibri"/>
                <w:color w:val="000000"/>
                <w:sz w:val="24"/>
                <w:szCs w:val="24"/>
                <w:lang w:val="hy-AM" w:eastAsia="ru-RU"/>
              </w:rPr>
              <w:t>65 տարեկան և ավելի բարձր տարիքի անձանց</w:t>
            </w:r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  <w:lang w:val="hy-AM"/>
              </w:rPr>
              <w:t>6</w:t>
            </w: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50000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Միկրոֆոնի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ֆիլտր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15500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Կոճ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38000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Վերալիցքավորող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մարտկոց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120000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Մագնիս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17000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Ծրագրավորում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25000</w:t>
            </w:r>
          </w:p>
        </w:tc>
      </w:tr>
      <w:tr w:rsidR="0085329D" w:rsidRPr="00463EA1" w:rsidTr="00463EA1">
        <w:tc>
          <w:tcPr>
            <w:tcW w:w="851" w:type="dxa"/>
          </w:tcPr>
          <w:p w:rsidR="0085329D" w:rsidRPr="00463EA1" w:rsidRDefault="0085329D" w:rsidP="0085329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GHEA Grapalat" w:hAnsi="GHEA Grapalat"/>
                <w:color w:val="222222"/>
              </w:rPr>
            </w:pPr>
          </w:p>
        </w:tc>
        <w:tc>
          <w:tcPr>
            <w:tcW w:w="5629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Լոգարանի</w:t>
            </w:r>
            <w:proofErr w:type="spellEnd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աթոռ</w:t>
            </w:r>
            <w:proofErr w:type="spellEnd"/>
          </w:p>
        </w:tc>
        <w:tc>
          <w:tcPr>
            <w:tcW w:w="1391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proofErr w:type="spellStart"/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2474" w:type="dxa"/>
            <w:hideMark/>
          </w:tcPr>
          <w:p w:rsidR="0085329D" w:rsidRPr="00463EA1" w:rsidRDefault="0085329D" w:rsidP="00D304A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</w:pPr>
            <w:r w:rsidRPr="00463EA1">
              <w:rPr>
                <w:rFonts w:ascii="GHEA Grapalat" w:eastAsia="Times New Roman" w:hAnsi="GHEA Grapalat" w:cs="Times New Roman"/>
                <w:color w:val="222222"/>
                <w:sz w:val="24"/>
                <w:szCs w:val="24"/>
              </w:rPr>
              <w:t>20000</w:t>
            </w:r>
          </w:p>
        </w:tc>
      </w:tr>
    </w:tbl>
    <w:p w:rsidR="0085329D" w:rsidRPr="00463EA1" w:rsidRDefault="00463EA1" w:rsidP="00463EA1">
      <w:pPr>
        <w:shd w:val="clear" w:color="auto" w:fill="FFFFFF"/>
        <w:spacing w:after="390"/>
        <w:jc w:val="both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Վերը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նշված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գները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պետության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կողմից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փոխհատուցվող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գներն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: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Եթե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կողմից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վերը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նշված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համար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սահմանվում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ավելի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բարձր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քան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պետության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կողմից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փոխհատուցվող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գներն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ապա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ստանալու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իրավունք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ունեցող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անձինք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կարող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փոխհատուցել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գների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տարբերությունը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:</w:t>
      </w:r>
    </w:p>
    <w:p w:rsidR="0085329D" w:rsidRPr="00463EA1" w:rsidRDefault="0085329D" w:rsidP="00463EA1">
      <w:pPr>
        <w:shd w:val="clear" w:color="auto" w:fill="FFFFFF"/>
        <w:spacing w:before="100" w:beforeAutospacing="1" w:after="100" w:afterAutospacing="1" w:line="390" w:lineRule="atLeast"/>
        <w:ind w:left="1035"/>
        <w:jc w:val="center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 w:rsidRPr="00463EA1">
        <w:rPr>
          <w:rFonts w:ascii="GHEA Grapalat" w:eastAsia="Times New Roman" w:hAnsi="GHEA Grapalat" w:cs="Times New Roman"/>
          <w:b/>
          <w:bCs/>
          <w:color w:val="222222"/>
          <w:sz w:val="24"/>
          <w:szCs w:val="24"/>
        </w:rPr>
        <w:t>ԱՋԱԿՑՈՂ ՄԻՋՈՑՆԵՐԻ ՆՎԱԶԱԳՈՒՅՆ ՊԱՀԱՆՋՆԵՐԸ ԵՎ ՊԱՅՄԱՆԱԳՐԻ ԿՆՔՈՒՄԸ</w:t>
      </w:r>
    </w:p>
    <w:p w:rsidR="0085329D" w:rsidRPr="00463EA1" w:rsidRDefault="00463EA1" w:rsidP="00463EA1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Որակավորված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կազմակերպությունների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կողմից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տրամադրվում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այնպիսի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որոնք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բավարարում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հետևյալ</w:t>
      </w:r>
      <w:proofErr w:type="spellEnd"/>
      <w:r w:rsidR="0085329D" w:rsidRPr="00463EA1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  <w:proofErr w:type="spellStart"/>
      <w:r w:rsidR="00150C16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fldChar w:fldCharType="begin"/>
      </w:r>
      <w:r w:rsidR="00150C16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instrText xml:space="preserve"> HYPERLINK "https://www.mlsa.am/wp-content/uploads/2019/01/Nvazaguyn-pahanjner-23.06.2020-STORAGRAC.docx" </w:instrText>
      </w:r>
      <w:r w:rsidR="00150C16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fldChar w:fldCharType="separate"/>
      </w:r>
      <w:r w:rsidR="0085329D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t>Նվազագույն</w:t>
      </w:r>
      <w:proofErr w:type="spellEnd"/>
      <w:r w:rsidR="0085329D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t>պահանջները</w:t>
      </w:r>
      <w:proofErr w:type="spellEnd"/>
      <w:r w:rsidR="00150C16" w:rsidRPr="00463EA1">
        <w:rPr>
          <w:rFonts w:ascii="GHEA Grapalat" w:eastAsia="Times New Roman" w:hAnsi="GHEA Grapalat" w:cs="Times New Roman"/>
          <w:b/>
          <w:bCs/>
          <w:color w:val="4DB2EC"/>
          <w:sz w:val="24"/>
          <w:szCs w:val="24"/>
        </w:rPr>
        <w:fldChar w:fldCharType="end"/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:</w:t>
      </w:r>
      <w:r w:rsidR="0085329D" w:rsidRPr="00463EA1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Կազմակերպությունը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կարող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է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տրամադրել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Նվազագույն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պահանջներից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տարբերվող</w:t>
      </w:r>
      <w:proofErr w:type="spellEnd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՝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ավելի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որակյալ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`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գնային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արժեքով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ավելի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բարձր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կամ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Նվազագույն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պահանջները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գերազանցողը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տեխնիկական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նկարագրեր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ո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ւնեցող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:</w:t>
      </w:r>
    </w:p>
    <w:p w:rsidR="0085329D" w:rsidRPr="00463EA1" w:rsidRDefault="00463EA1" w:rsidP="00463EA1">
      <w:p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նույնիսկ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ստանալու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իրավունք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ունեցող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անձի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ցանկությամբ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չի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կարող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տրամադրվել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այնպիսի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չի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համապատասխանում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հաստատված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Նվազագույն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պահանջներին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: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և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Նախարարության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միջև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կնքվում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պայմանագիր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աջակցող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միջոցներ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տրամադրելու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մասին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sz w:val="24"/>
          <w:szCs w:val="24"/>
        </w:rPr>
        <w:t>համաձայն</w:t>
      </w:r>
      <w:proofErr w:type="spellEnd"/>
      <w:r w:rsidR="0085329D" w:rsidRPr="00463EA1">
        <w:rPr>
          <w:sz w:val="24"/>
          <w:szCs w:val="24"/>
        </w:rPr>
        <w:t> </w:t>
      </w:r>
      <w:proofErr w:type="spellStart"/>
      <w:r w:rsidR="00150C16" w:rsidRPr="00463EA1">
        <w:rPr>
          <w:rFonts w:ascii="GHEA Grapalat" w:hAnsi="GHEA Grapalat"/>
          <w:sz w:val="24"/>
          <w:szCs w:val="24"/>
        </w:rPr>
        <w:fldChar w:fldCharType="begin"/>
      </w:r>
      <w:r w:rsidR="00150C16" w:rsidRPr="00463EA1">
        <w:rPr>
          <w:rFonts w:ascii="GHEA Grapalat" w:hAnsi="GHEA Grapalat"/>
          <w:sz w:val="24"/>
          <w:szCs w:val="24"/>
        </w:rPr>
        <w:instrText xml:space="preserve"> HYPERLINK "https://www.mlsa.am/wp-content/uploads/2019/01/%D5%8A%D5%A1%D5%B5%D5%B4%D5%A1%D5%B6%D5%A1%D5%A3%D6%80%D5%AB-%D6%85%D6%80%D5%AB%D5%B6%D5%A1%D5%AF%D5%A5%D5%AC%D5%AB-%D5%B1%D6%87-2.doc" </w:instrText>
      </w:r>
      <w:r w:rsidR="00150C16" w:rsidRPr="00463EA1">
        <w:rPr>
          <w:rFonts w:ascii="GHEA Grapalat" w:hAnsi="GHEA Grapalat"/>
          <w:sz w:val="24"/>
          <w:szCs w:val="24"/>
        </w:rPr>
        <w:fldChar w:fldCharType="separate"/>
      </w:r>
      <w:r w:rsidR="0085329D" w:rsidRPr="00463EA1">
        <w:rPr>
          <w:rStyle w:val="Hyperlink"/>
          <w:rFonts w:ascii="GHEA Grapalat" w:hAnsi="GHEA Grapalat"/>
          <w:sz w:val="24"/>
          <w:szCs w:val="24"/>
        </w:rPr>
        <w:t>պայմանագրի</w:t>
      </w:r>
      <w:proofErr w:type="spellEnd"/>
      <w:r w:rsidR="0085329D" w:rsidRPr="00463EA1">
        <w:rPr>
          <w:rStyle w:val="Hyperlink"/>
          <w:rFonts w:ascii="Calibri" w:hAnsi="Calibri" w:cs="Calibri"/>
          <w:sz w:val="24"/>
          <w:szCs w:val="24"/>
        </w:rPr>
        <w:t> </w:t>
      </w:r>
      <w:proofErr w:type="spellStart"/>
      <w:r w:rsidR="0085329D" w:rsidRPr="00463EA1">
        <w:rPr>
          <w:rStyle w:val="Hyperlink"/>
          <w:rFonts w:ascii="GHEA Grapalat" w:hAnsi="GHEA Grapalat"/>
          <w:sz w:val="24"/>
          <w:szCs w:val="24"/>
        </w:rPr>
        <w:t>օրինակելի</w:t>
      </w:r>
      <w:proofErr w:type="spellEnd"/>
      <w:r w:rsidR="0085329D" w:rsidRPr="00463EA1">
        <w:rPr>
          <w:rStyle w:val="Hyperlink"/>
          <w:rFonts w:ascii="GHEA Grapalat" w:hAnsi="GHEA Grapalat"/>
          <w:sz w:val="24"/>
          <w:szCs w:val="24"/>
        </w:rPr>
        <w:t xml:space="preserve"> </w:t>
      </w:r>
      <w:proofErr w:type="spellStart"/>
      <w:r w:rsidR="0085329D" w:rsidRPr="00463EA1">
        <w:rPr>
          <w:rStyle w:val="Hyperlink"/>
          <w:rFonts w:ascii="GHEA Grapalat" w:hAnsi="GHEA Grapalat"/>
          <w:sz w:val="24"/>
          <w:szCs w:val="24"/>
        </w:rPr>
        <w:t>ձևի</w:t>
      </w:r>
      <w:proofErr w:type="spellEnd"/>
      <w:r w:rsidR="00150C16" w:rsidRPr="00463EA1">
        <w:rPr>
          <w:rFonts w:ascii="GHEA Grapalat" w:hAnsi="GHEA Grapalat"/>
          <w:sz w:val="24"/>
          <w:szCs w:val="24"/>
        </w:rPr>
        <w:fldChar w:fldCharType="end"/>
      </w:r>
      <w:r w:rsidR="0085329D" w:rsidRPr="00463EA1">
        <w:rPr>
          <w:rFonts w:ascii="GHEA Grapalat" w:hAnsi="GHEA Grapalat"/>
          <w:sz w:val="24"/>
          <w:szCs w:val="24"/>
        </w:rPr>
        <w:t>:</w:t>
      </w:r>
    </w:p>
    <w:p w:rsidR="0085329D" w:rsidRPr="00463EA1" w:rsidRDefault="00463EA1" w:rsidP="00463EA1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b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</w:t>
      </w:r>
      <w:proofErr w:type="spellStart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>Պայմանագրերը</w:t>
      </w:r>
      <w:proofErr w:type="spellEnd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>կնքվում</w:t>
      </w:r>
      <w:proofErr w:type="spellEnd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>անժամկետ</w:t>
      </w:r>
      <w:proofErr w:type="spellEnd"/>
      <w:r w:rsidR="0085329D" w:rsidRPr="00463EA1">
        <w:rPr>
          <w:rFonts w:ascii="GHEA Grapalat" w:eastAsia="Times New Roman" w:hAnsi="GHEA Grapalat" w:cs="Times New Roman"/>
          <w:b/>
          <w:color w:val="222222"/>
          <w:sz w:val="24"/>
          <w:szCs w:val="24"/>
        </w:rPr>
        <w:t>։</w:t>
      </w:r>
    </w:p>
    <w:p w:rsidR="0085329D" w:rsidRPr="00463EA1" w:rsidRDefault="00463EA1" w:rsidP="00463EA1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222222"/>
          <w:sz w:val="24"/>
          <w:szCs w:val="24"/>
        </w:rPr>
      </w:pPr>
      <w:r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 xml:space="preserve">      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կարող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լուծել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պայմանագիրը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եթե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մարված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պայմանագրով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նախատեսված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պարտավորությունները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կամ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եթե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այդ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պարտավորությունները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Կազմակերպությունը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օրենսդրությամբ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սահմանված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կարգով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փոխանցել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է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այլ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կազմակերպությանը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,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որը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նույնպես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բավարարում</w:t>
      </w:r>
      <w:proofErr w:type="spellEnd"/>
      <w:r w:rsidR="0085329D" w:rsidRPr="00463EA1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է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r w:rsidR="0085329D" w:rsidRPr="00463EA1">
        <w:rPr>
          <w:rFonts w:ascii="Courier New" w:eastAsia="Times New Roman" w:hAnsi="Courier New" w:cs="Courier New"/>
          <w:color w:val="222222"/>
          <w:sz w:val="24"/>
          <w:szCs w:val="24"/>
        </w:rPr>
        <w:t> 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ՀՀ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կառավարության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201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5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թվականի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սեպտեմբերի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10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-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ի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N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1035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-</w:t>
      </w:r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Ն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որոշման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N 1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հավելվածի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  <w:lang w:val="hy-AM"/>
        </w:rPr>
        <w:t>30</w:t>
      </w:r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-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րդ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կետի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 xml:space="preserve"> </w:t>
      </w:r>
      <w:proofErr w:type="spellStart"/>
      <w:r w:rsidR="0085329D" w:rsidRPr="00463EA1">
        <w:rPr>
          <w:rFonts w:ascii="GHEA Grapalat" w:eastAsia="Times New Roman" w:hAnsi="GHEA Grapalat" w:cs="GHEA Grapalat"/>
          <w:color w:val="222222"/>
          <w:sz w:val="24"/>
          <w:szCs w:val="24"/>
        </w:rPr>
        <w:t>պահանջներին</w:t>
      </w:r>
      <w:proofErr w:type="spellEnd"/>
      <w:r w:rsidR="0085329D" w:rsidRPr="00463EA1">
        <w:rPr>
          <w:rFonts w:ascii="GHEA Grapalat" w:eastAsia="Times New Roman" w:hAnsi="GHEA Grapalat" w:cs="Times New Roman"/>
          <w:color w:val="222222"/>
          <w:sz w:val="24"/>
          <w:szCs w:val="24"/>
        </w:rPr>
        <w:t>:</w:t>
      </w:r>
    </w:p>
    <w:p w:rsidR="002E3120" w:rsidRPr="00463EA1" w:rsidRDefault="002E3120">
      <w:pPr>
        <w:rPr>
          <w:sz w:val="24"/>
          <w:szCs w:val="24"/>
        </w:rPr>
      </w:pPr>
    </w:p>
    <w:sectPr w:rsidR="002E3120" w:rsidRPr="00463EA1" w:rsidSect="00463EA1">
      <w:pgSz w:w="12240" w:h="15840"/>
      <w:pgMar w:top="5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29F"/>
    <w:multiLevelType w:val="multilevel"/>
    <w:tmpl w:val="B606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47882"/>
    <w:multiLevelType w:val="multilevel"/>
    <w:tmpl w:val="B06A4A9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" w15:restartNumberingAfterBreak="0">
    <w:nsid w:val="2BFF1596"/>
    <w:multiLevelType w:val="hybridMultilevel"/>
    <w:tmpl w:val="88F6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78A4"/>
    <w:multiLevelType w:val="hybridMultilevel"/>
    <w:tmpl w:val="D6C866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F542F"/>
    <w:multiLevelType w:val="multilevel"/>
    <w:tmpl w:val="969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03079"/>
    <w:multiLevelType w:val="multilevel"/>
    <w:tmpl w:val="B828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05AF3"/>
    <w:multiLevelType w:val="hybridMultilevel"/>
    <w:tmpl w:val="77DA6B60"/>
    <w:lvl w:ilvl="0" w:tplc="B6544F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E2"/>
    <w:rsid w:val="00150C16"/>
    <w:rsid w:val="002217E2"/>
    <w:rsid w:val="002E3120"/>
    <w:rsid w:val="0034697A"/>
    <w:rsid w:val="00463EA1"/>
    <w:rsid w:val="0085329D"/>
    <w:rsid w:val="00C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AFB0"/>
  <w15:chartTrackingRefBased/>
  <w15:docId w15:val="{E5E8FE47-7B58-454E-891E-58504DD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50C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6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Gayane.Manukyan</dc:creator>
  <cp:keywords/>
  <dc:description/>
  <cp:lastModifiedBy>Kristine.Stepanyan</cp:lastModifiedBy>
  <cp:revision>4</cp:revision>
  <dcterms:created xsi:type="dcterms:W3CDTF">2021-10-19T13:19:00Z</dcterms:created>
  <dcterms:modified xsi:type="dcterms:W3CDTF">2022-06-09T13:32:00Z</dcterms:modified>
</cp:coreProperties>
</file>